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BFCAB" w14:textId="6EF043FB" w:rsidR="00C1023F" w:rsidRPr="005B35D8" w:rsidRDefault="00C1023F" w:rsidP="00C1023F">
      <w:pPr>
        <w:spacing w:after="0" w:line="240" w:lineRule="auto"/>
        <w:jc w:val="center"/>
        <w:rPr>
          <w:rFonts w:ascii="Cambria" w:hAnsi="Cambria"/>
          <w:b/>
          <w:bCs/>
          <w:sz w:val="32"/>
          <w:szCs w:val="32"/>
        </w:rPr>
      </w:pPr>
      <w:r w:rsidRPr="005B35D8">
        <w:rPr>
          <w:rFonts w:ascii="Cambria" w:hAnsi="Cambria"/>
          <w:b/>
          <w:bCs/>
          <w:sz w:val="32"/>
          <w:szCs w:val="32"/>
        </w:rPr>
        <w:t>Sequence</w:t>
      </w:r>
      <w:r w:rsidR="00F32183">
        <w:rPr>
          <w:rFonts w:ascii="Cambria" w:hAnsi="Cambria"/>
          <w:b/>
          <w:bCs/>
          <w:sz w:val="32"/>
          <w:szCs w:val="32"/>
        </w:rPr>
        <w:t xml:space="preserve"> as Canon</w:t>
      </w:r>
      <w:r w:rsidRPr="005B35D8">
        <w:rPr>
          <w:rFonts w:ascii="Cambria" w:hAnsi="Cambria"/>
          <w:b/>
          <w:bCs/>
          <w:sz w:val="32"/>
          <w:szCs w:val="32"/>
        </w:rPr>
        <w:t>:</w:t>
      </w:r>
    </w:p>
    <w:p w14:paraId="440909EE" w14:textId="0564734E" w:rsidR="00C1023F" w:rsidRPr="00F32183" w:rsidRDefault="00C7363D" w:rsidP="00C1023F">
      <w:pPr>
        <w:spacing w:after="0" w:line="240" w:lineRule="auto"/>
        <w:jc w:val="center"/>
        <w:rPr>
          <w:rFonts w:ascii="Cambria" w:hAnsi="Cambria"/>
          <w:b/>
          <w:bCs/>
          <w:i/>
          <w:iCs/>
          <w:sz w:val="28"/>
          <w:szCs w:val="28"/>
        </w:rPr>
      </w:pPr>
      <w:r>
        <w:rPr>
          <w:rFonts w:ascii="Cambria" w:hAnsi="Cambria"/>
          <w:b/>
          <w:bCs/>
          <w:sz w:val="28"/>
          <w:szCs w:val="28"/>
        </w:rPr>
        <w:t>Post-</w:t>
      </w:r>
      <w:r w:rsidR="00F32183" w:rsidRPr="00F32183">
        <w:rPr>
          <w:rFonts w:ascii="Cambria" w:hAnsi="Cambria"/>
          <w:b/>
          <w:bCs/>
          <w:sz w:val="28"/>
          <w:szCs w:val="28"/>
        </w:rPr>
        <w:t xml:space="preserve">Enumeration </w:t>
      </w:r>
      <w:r>
        <w:rPr>
          <w:rFonts w:ascii="Cambria" w:hAnsi="Cambria"/>
          <w:b/>
          <w:bCs/>
          <w:sz w:val="28"/>
          <w:szCs w:val="28"/>
        </w:rPr>
        <w:t xml:space="preserve">Refusal </w:t>
      </w:r>
      <w:r w:rsidR="00F32183" w:rsidRPr="00F32183">
        <w:rPr>
          <w:rFonts w:ascii="Cambria" w:hAnsi="Cambria"/>
          <w:b/>
          <w:bCs/>
          <w:sz w:val="28"/>
          <w:szCs w:val="28"/>
        </w:rPr>
        <w:t>and the Limits o</w:t>
      </w:r>
      <w:r>
        <w:rPr>
          <w:rFonts w:ascii="Cambria" w:hAnsi="Cambria"/>
          <w:b/>
          <w:bCs/>
          <w:sz w:val="28"/>
          <w:szCs w:val="28"/>
        </w:rPr>
        <w:t>f</w:t>
      </w:r>
      <w:r w:rsidR="00F32183" w:rsidRPr="00F32183">
        <w:rPr>
          <w:rFonts w:ascii="Cambria" w:hAnsi="Cambria"/>
          <w:b/>
          <w:bCs/>
          <w:sz w:val="28"/>
          <w:szCs w:val="28"/>
        </w:rPr>
        <w:t xml:space="preserve"> Implied Infrastructure Power</w:t>
      </w:r>
    </w:p>
    <w:p w14:paraId="0A653FF1" w14:textId="77777777" w:rsidR="00C1023F" w:rsidRPr="00C1023F" w:rsidRDefault="00C1023F" w:rsidP="00C1023F">
      <w:pPr>
        <w:spacing w:after="0" w:line="240" w:lineRule="auto"/>
        <w:rPr>
          <w:rFonts w:ascii="Cambria" w:hAnsi="Cambria"/>
          <w:sz w:val="28"/>
          <w:szCs w:val="28"/>
        </w:rPr>
      </w:pPr>
    </w:p>
    <w:p w14:paraId="29CED930" w14:textId="77777777" w:rsidR="00C1023F" w:rsidRPr="00234E2D" w:rsidRDefault="00C1023F" w:rsidP="00C1023F">
      <w:pPr>
        <w:spacing w:after="0" w:line="240" w:lineRule="auto"/>
        <w:rPr>
          <w:rFonts w:ascii="Cambria" w:hAnsi="Cambria"/>
          <w:b/>
          <w:bCs/>
        </w:rPr>
      </w:pPr>
      <w:r w:rsidRPr="00234E2D">
        <w:rPr>
          <w:rFonts w:ascii="Cambria" w:hAnsi="Cambria"/>
          <w:b/>
          <w:bCs/>
        </w:rPr>
        <w:t>Abstract</w:t>
      </w:r>
    </w:p>
    <w:p w14:paraId="47814B73" w14:textId="3716960A" w:rsidR="00F32183" w:rsidRPr="00234E2D" w:rsidRDefault="00C1023F" w:rsidP="00C1023F">
      <w:pPr>
        <w:spacing w:after="0" w:line="240" w:lineRule="auto"/>
        <w:rPr>
          <w:rFonts w:ascii="Cambria" w:hAnsi="Cambria"/>
        </w:rPr>
      </w:pPr>
      <w:r w:rsidRPr="00234E2D">
        <w:rPr>
          <w:rFonts w:ascii="Cambria" w:hAnsi="Cambria"/>
        </w:rPr>
        <w:t xml:space="preserve">This Article advances a </w:t>
      </w:r>
      <w:r w:rsidRPr="00234E2D">
        <w:rPr>
          <w:rFonts w:ascii="Cambria" w:hAnsi="Cambria"/>
          <w:b/>
          <w:bCs/>
        </w:rPr>
        <w:t>sequence-based canon of constitutional interpretation</w:t>
      </w:r>
      <w:r w:rsidRPr="00234E2D">
        <w:rPr>
          <w:rFonts w:ascii="Cambria" w:hAnsi="Cambria"/>
        </w:rPr>
        <w:t xml:space="preserve">: when the Framers completed the enumeration of congressional powers and thereafter deliberately considered and rejected additional authority, that refusal constrains the meaning of the enumerated text. Drawing on James Madison’s </w:t>
      </w:r>
      <w:r w:rsidRPr="00234E2D">
        <w:rPr>
          <w:rFonts w:ascii="Cambria" w:hAnsi="Cambria"/>
          <w:i/>
          <w:iCs/>
        </w:rPr>
        <w:t>Notes of Debates in the Federal Convention of 1787</w:t>
      </w:r>
      <w:r w:rsidRPr="00234E2D">
        <w:rPr>
          <w:rFonts w:ascii="Cambria" w:hAnsi="Cambria"/>
        </w:rPr>
        <w:t xml:space="preserve">, Max Farrand’s </w:t>
      </w:r>
      <w:r w:rsidRPr="00234E2D">
        <w:rPr>
          <w:rFonts w:ascii="Cambria" w:hAnsi="Cambria"/>
          <w:i/>
          <w:iCs/>
        </w:rPr>
        <w:t>Records</w:t>
      </w:r>
      <w:r w:rsidRPr="00234E2D">
        <w:rPr>
          <w:rFonts w:ascii="Cambria" w:hAnsi="Cambria"/>
        </w:rPr>
        <w:t xml:space="preserve">, early executive practice, nineteenth-century campaign platforms, and later judicial doctrine, the Article demonstrates that federal authority to fund internal improvements or charter corporations was repeatedly proposed and consciously refused after the scope of Article I powers had been settled. The Supreme Court’s subsequent embrace of implied infrastructure power, culminating in </w:t>
      </w:r>
      <w:r w:rsidRPr="00234E2D">
        <w:rPr>
          <w:rFonts w:ascii="Cambria" w:hAnsi="Cambria"/>
          <w:i/>
          <w:iCs/>
        </w:rPr>
        <w:t>Wilson v. Shaw</w:t>
      </w:r>
      <w:r w:rsidRPr="00234E2D">
        <w:rPr>
          <w:rFonts w:ascii="Cambria" w:hAnsi="Cambria"/>
        </w:rPr>
        <w:t xml:space="preserve"> (1907), reflects not ambiguity in the founding text</w:t>
      </w:r>
      <w:r w:rsidR="001E6C01" w:rsidRPr="00234E2D">
        <w:rPr>
          <w:rFonts w:ascii="Cambria" w:hAnsi="Cambria"/>
        </w:rPr>
        <w:t>,</w:t>
      </w:r>
      <w:r w:rsidRPr="00234E2D">
        <w:rPr>
          <w:rFonts w:ascii="Cambria" w:hAnsi="Cambria"/>
        </w:rPr>
        <w:t xml:space="preserve"> but abandonment of that sequence. The Article concludes by assessing the implications for stare decisis and constitutional restraint.</w:t>
      </w:r>
    </w:p>
    <w:p w14:paraId="57912426" w14:textId="2491D697" w:rsidR="00C1023F" w:rsidRPr="00234E2D" w:rsidRDefault="00C1023F" w:rsidP="00C1023F">
      <w:pPr>
        <w:spacing w:after="0" w:line="240" w:lineRule="auto"/>
        <w:rPr>
          <w:rFonts w:ascii="Cambria" w:hAnsi="Cambria"/>
        </w:rPr>
      </w:pPr>
    </w:p>
    <w:p w14:paraId="7624BD2A" w14:textId="77777777" w:rsidR="00C1023F" w:rsidRPr="00234E2D" w:rsidRDefault="00C1023F" w:rsidP="00C1023F">
      <w:pPr>
        <w:spacing w:after="0" w:line="240" w:lineRule="auto"/>
        <w:rPr>
          <w:rFonts w:ascii="Cambria" w:hAnsi="Cambria"/>
          <w:b/>
          <w:bCs/>
        </w:rPr>
      </w:pPr>
      <w:r w:rsidRPr="00234E2D">
        <w:rPr>
          <w:rFonts w:ascii="Cambria" w:hAnsi="Cambria"/>
          <w:b/>
          <w:bCs/>
        </w:rPr>
        <w:t>Introduction</w:t>
      </w:r>
    </w:p>
    <w:p w14:paraId="7A79DBA8" w14:textId="4F322855" w:rsidR="00C1023F" w:rsidRPr="00234E2D" w:rsidRDefault="00C1023F" w:rsidP="00C1023F">
      <w:pPr>
        <w:spacing w:after="0" w:line="240" w:lineRule="auto"/>
        <w:rPr>
          <w:rFonts w:ascii="Cambria" w:hAnsi="Cambria"/>
        </w:rPr>
      </w:pPr>
      <w:r w:rsidRPr="00234E2D">
        <w:rPr>
          <w:rFonts w:ascii="Cambria" w:hAnsi="Cambria"/>
        </w:rPr>
        <w:t xml:space="preserve">Modern constitutional doctrine treats federal infrastructure authority as an implied incident of enumerated powers. This assumption is deeply entrenched, rarely questioned, and </w:t>
      </w:r>
      <w:r w:rsidR="001E6C01" w:rsidRPr="00234E2D">
        <w:rPr>
          <w:rFonts w:ascii="Cambria" w:hAnsi="Cambria"/>
        </w:rPr>
        <w:t>widely</w:t>
      </w:r>
      <w:r w:rsidRPr="00234E2D">
        <w:rPr>
          <w:rFonts w:ascii="Cambria" w:hAnsi="Cambria"/>
        </w:rPr>
        <w:t xml:space="preserve"> regarded as settled. Yet the historical record tells a different story</w:t>
      </w:r>
      <w:r w:rsidR="009B456B" w:rsidRPr="00234E2D">
        <w:rPr>
          <w:rFonts w:ascii="Cambria" w:hAnsi="Cambria"/>
        </w:rPr>
        <w:t xml:space="preserve"> - </w:t>
      </w:r>
      <w:r w:rsidRPr="00234E2D">
        <w:rPr>
          <w:rFonts w:ascii="Cambria" w:hAnsi="Cambria"/>
        </w:rPr>
        <w:t>one not of silence or ambiguity, but of deliberate refusal.</w:t>
      </w:r>
    </w:p>
    <w:p w14:paraId="23F052CF" w14:textId="77777777" w:rsidR="00C1023F" w:rsidRPr="00234E2D" w:rsidRDefault="00C1023F" w:rsidP="00C1023F">
      <w:pPr>
        <w:spacing w:after="0" w:line="240" w:lineRule="auto"/>
        <w:rPr>
          <w:rFonts w:ascii="Cambria" w:hAnsi="Cambria"/>
        </w:rPr>
      </w:pPr>
    </w:p>
    <w:p w14:paraId="355AA092" w14:textId="09E348A9" w:rsidR="00D45359" w:rsidRPr="00234E2D" w:rsidRDefault="00C1023F" w:rsidP="00C1023F">
      <w:pPr>
        <w:spacing w:after="0" w:line="240" w:lineRule="auto"/>
        <w:rPr>
          <w:rFonts w:ascii="Cambria" w:hAnsi="Cambria"/>
        </w:rPr>
      </w:pPr>
      <w:r w:rsidRPr="00234E2D">
        <w:rPr>
          <w:rFonts w:ascii="Cambria" w:hAnsi="Cambria"/>
        </w:rPr>
        <w:t xml:space="preserve">This Article argues that sequence matters. </w:t>
      </w:r>
      <w:r w:rsidR="006C5A18" w:rsidRPr="00234E2D">
        <w:rPr>
          <w:rFonts w:ascii="Cambria" w:hAnsi="Cambria"/>
        </w:rPr>
        <w:t xml:space="preserve">Specifically, when enumeration is followed by express refusal, implication cannot later be used to resurrect the rejected power. </w:t>
      </w:r>
      <w:r w:rsidRPr="00234E2D">
        <w:rPr>
          <w:rFonts w:ascii="Cambria" w:hAnsi="Cambria"/>
        </w:rPr>
        <w:t xml:space="preserve">Where the Constitutional Convention completed the enumeration of congressional powers and then expressly considered and rejected additional authority, that refusal constrains later claims of implication. </w:t>
      </w:r>
      <w:r w:rsidR="00FB0D79" w:rsidRPr="00234E2D">
        <w:rPr>
          <w:rFonts w:ascii="Cambria" w:hAnsi="Cambria"/>
        </w:rPr>
        <w:t>F</w:t>
      </w:r>
      <w:r w:rsidRPr="00234E2D">
        <w:rPr>
          <w:rFonts w:ascii="Cambria" w:hAnsi="Cambria"/>
        </w:rPr>
        <w:t>ederal power</w:t>
      </w:r>
      <w:r w:rsidR="00FB0D79" w:rsidRPr="00234E2D">
        <w:rPr>
          <w:rFonts w:ascii="Cambria" w:hAnsi="Cambria"/>
        </w:rPr>
        <w:t>s</w:t>
      </w:r>
      <w:r w:rsidRPr="00234E2D">
        <w:rPr>
          <w:rFonts w:ascii="Cambria" w:hAnsi="Cambria"/>
        </w:rPr>
        <w:t xml:space="preserve"> to fund internal improvements or charter corporations w</w:t>
      </w:r>
      <w:r w:rsidR="00FB0D79" w:rsidRPr="00234E2D">
        <w:rPr>
          <w:rFonts w:ascii="Cambria" w:hAnsi="Cambria"/>
        </w:rPr>
        <w:t>ere</w:t>
      </w:r>
      <w:r w:rsidRPr="00234E2D">
        <w:rPr>
          <w:rFonts w:ascii="Cambria" w:hAnsi="Cambria"/>
        </w:rPr>
        <w:t xml:space="preserve"> not overlooked; </w:t>
      </w:r>
      <w:r w:rsidR="00FB0D79" w:rsidRPr="00234E2D">
        <w:rPr>
          <w:rFonts w:ascii="Cambria" w:hAnsi="Cambria"/>
        </w:rPr>
        <w:t>they were</w:t>
      </w:r>
      <w:r w:rsidRPr="00234E2D">
        <w:rPr>
          <w:rFonts w:ascii="Cambria" w:hAnsi="Cambria"/>
        </w:rPr>
        <w:t xml:space="preserve"> proposed, debated, and denied</w:t>
      </w:r>
      <w:r w:rsidR="00F32183" w:rsidRPr="00234E2D">
        <w:rPr>
          <w:rFonts w:ascii="Cambria" w:hAnsi="Cambria"/>
        </w:rPr>
        <w:t xml:space="preserve"> - </w:t>
      </w:r>
      <w:r w:rsidRPr="00234E2D">
        <w:rPr>
          <w:rFonts w:ascii="Cambria" w:hAnsi="Cambria"/>
        </w:rPr>
        <w:t>repeatedly, and late in the drafting process.</w:t>
      </w:r>
      <w:r w:rsidR="00305F0D" w:rsidRPr="00234E2D">
        <w:rPr>
          <w:rFonts w:ascii="Cambria" w:hAnsi="Cambria"/>
        </w:rPr>
        <w:t xml:space="preserve"> </w:t>
      </w:r>
      <w:r w:rsidR="00D45359" w:rsidRPr="00234E2D">
        <w:rPr>
          <w:rFonts w:ascii="Cambria" w:hAnsi="Cambria"/>
        </w:rPr>
        <w:t xml:space="preserve">This sequence of enumeration and refusal applied not only to physical infrastructure, but to the more consequential power to create artificial legal </w:t>
      </w:r>
      <w:proofErr w:type="gramStart"/>
      <w:r w:rsidR="00D45359" w:rsidRPr="00234E2D">
        <w:rPr>
          <w:rFonts w:ascii="Cambria" w:hAnsi="Cambria"/>
        </w:rPr>
        <w:t>persons</w:t>
      </w:r>
      <w:proofErr w:type="gramEnd"/>
      <w:r w:rsidR="00D45359" w:rsidRPr="00234E2D">
        <w:rPr>
          <w:rFonts w:ascii="Cambria" w:hAnsi="Cambria"/>
        </w:rPr>
        <w:t xml:space="preserve"> through federal incorporation, a power proposed, debated, and deliberately withheld.</w:t>
      </w:r>
    </w:p>
    <w:p w14:paraId="0704A437" w14:textId="77777777" w:rsidR="00B453DD" w:rsidRPr="00234E2D" w:rsidRDefault="00B453DD" w:rsidP="00C1023F">
      <w:pPr>
        <w:spacing w:after="0" w:line="240" w:lineRule="auto"/>
        <w:rPr>
          <w:rFonts w:ascii="Cambria" w:hAnsi="Cambria"/>
        </w:rPr>
      </w:pPr>
    </w:p>
    <w:p w14:paraId="57306295" w14:textId="4C7B1E4C" w:rsidR="00B453DD" w:rsidRPr="00234E2D" w:rsidRDefault="00847C69" w:rsidP="00C1023F">
      <w:pPr>
        <w:spacing w:after="0" w:line="240" w:lineRule="auto"/>
        <w:rPr>
          <w:rFonts w:ascii="Cambria" w:hAnsi="Cambria"/>
        </w:rPr>
      </w:pPr>
      <w:r>
        <w:rPr>
          <w:rFonts w:ascii="Cambria" w:hAnsi="Cambria"/>
        </w:rPr>
        <w:t>While centering</w:t>
      </w:r>
      <w:r w:rsidR="00B453DD" w:rsidRPr="00234E2D">
        <w:rPr>
          <w:rFonts w:ascii="Cambria" w:hAnsi="Cambria"/>
        </w:rPr>
        <w:t xml:space="preserve"> on the Founding-era sequence of enumeration and refusal, it also traces how post-1860 political commitments, administrative developments, and increasingly elastic interpretations of the Commerce Clause culminated in </w:t>
      </w:r>
      <w:r w:rsidR="00B453DD" w:rsidRPr="00234E2D">
        <w:rPr>
          <w:rFonts w:ascii="Cambria" w:hAnsi="Cambria"/>
          <w:i/>
          <w:iCs/>
        </w:rPr>
        <w:t>Wilson v. Shaw</w:t>
      </w:r>
      <w:r w:rsidR="00B453DD" w:rsidRPr="00234E2D">
        <w:rPr>
          <w:rFonts w:ascii="Cambria" w:hAnsi="Cambria"/>
        </w:rPr>
        <w:t xml:space="preserve"> (1907), where long-exercised but previously rejected powers were judicially ratified.</w:t>
      </w:r>
    </w:p>
    <w:p w14:paraId="5784A7AA" w14:textId="77777777" w:rsidR="00684483" w:rsidRPr="00234E2D" w:rsidRDefault="00684483" w:rsidP="00C1023F">
      <w:pPr>
        <w:spacing w:after="0" w:line="240" w:lineRule="auto"/>
        <w:rPr>
          <w:rFonts w:ascii="Cambria" w:hAnsi="Cambria"/>
        </w:rPr>
      </w:pPr>
    </w:p>
    <w:p w14:paraId="6A076BE7" w14:textId="451ECFF5" w:rsidR="00684483" w:rsidRPr="00234E2D" w:rsidRDefault="00684483" w:rsidP="00C1023F">
      <w:pPr>
        <w:spacing w:after="0" w:line="240" w:lineRule="auto"/>
        <w:rPr>
          <w:rFonts w:ascii="Cambria" w:hAnsi="Cambria"/>
        </w:rPr>
      </w:pPr>
      <w:r w:rsidRPr="00234E2D">
        <w:rPr>
          <w:rFonts w:ascii="Cambria" w:hAnsi="Cambria"/>
        </w:rPr>
        <w:t>This Article proceeds in four parts. Part I demonstrates that by late August and early September 1787, the Convention had completed the enumeration of congressional powers, even as it continued to refine their internal details. Part II shows that after enumeration was settled, the Convention expressly considered and rejected proposals to authorize federal funding of internal improvements and to grant charters of incorporation, culminating in the decisive vote of September 14, 1787. Part III examines the Bank Bill of 1791 as the first major test of those refusals, tracing the emergence of a methodological divide between those who treated constitutional meaning as fixed by institutional action and those who treated it as elastic and inferable from text alone</w:t>
      </w:r>
      <w:r w:rsidR="000944EB" w:rsidRPr="00234E2D">
        <w:rPr>
          <w:rFonts w:ascii="Cambria" w:hAnsi="Cambria"/>
        </w:rPr>
        <w:t xml:space="preserve"> - </w:t>
      </w:r>
      <w:r w:rsidRPr="00234E2D">
        <w:rPr>
          <w:rFonts w:ascii="Cambria" w:hAnsi="Cambria"/>
        </w:rPr>
        <w:t xml:space="preserve">a divide later constitutionalized in judicial doctrine. Part IV situates </w:t>
      </w:r>
      <w:r w:rsidRPr="00234E2D">
        <w:rPr>
          <w:rStyle w:val="Emphasis"/>
          <w:rFonts w:ascii="Cambria" w:hAnsi="Cambria"/>
        </w:rPr>
        <w:t>Wilson v. Shaw</w:t>
      </w:r>
      <w:r w:rsidRPr="00234E2D">
        <w:rPr>
          <w:rFonts w:ascii="Cambria" w:hAnsi="Cambria"/>
        </w:rPr>
        <w:t xml:space="preserve"> within the longer arc of nineteenth-century practice and judicial </w:t>
      </w:r>
      <w:proofErr w:type="gramStart"/>
      <w:r w:rsidRPr="00234E2D">
        <w:rPr>
          <w:rFonts w:ascii="Cambria" w:hAnsi="Cambria"/>
        </w:rPr>
        <w:t>ratification, and</w:t>
      </w:r>
      <w:proofErr w:type="gramEnd"/>
      <w:r w:rsidRPr="00234E2D">
        <w:rPr>
          <w:rFonts w:ascii="Cambria" w:hAnsi="Cambria"/>
        </w:rPr>
        <w:t xml:space="preserve"> concludes by assessing the implications for stare decisis and modern constitutional restraint.</w:t>
      </w:r>
    </w:p>
    <w:p w14:paraId="36787151" w14:textId="77777777" w:rsidR="00453234" w:rsidRPr="00234E2D" w:rsidRDefault="00453234" w:rsidP="00C1023F">
      <w:pPr>
        <w:spacing w:after="0" w:line="240" w:lineRule="auto"/>
        <w:rPr>
          <w:rFonts w:ascii="Cambria" w:hAnsi="Cambria"/>
        </w:rPr>
      </w:pPr>
    </w:p>
    <w:p w14:paraId="4A988CC0" w14:textId="7CCAE620" w:rsidR="00C1023F" w:rsidRPr="00234E2D" w:rsidRDefault="00C1023F" w:rsidP="00C1023F">
      <w:pPr>
        <w:spacing w:after="0" w:line="240" w:lineRule="auto"/>
        <w:rPr>
          <w:rFonts w:ascii="Cambria" w:hAnsi="Cambria"/>
          <w:b/>
          <w:bCs/>
        </w:rPr>
      </w:pPr>
      <w:r w:rsidRPr="00234E2D">
        <w:rPr>
          <w:rFonts w:ascii="Cambria" w:hAnsi="Cambria"/>
          <w:b/>
          <w:bCs/>
        </w:rPr>
        <w:t>Methodological Note: Sequence, Refusal, and Enumerated Powers</w:t>
      </w:r>
    </w:p>
    <w:p w14:paraId="0890D409" w14:textId="052E2588" w:rsidR="00D33802" w:rsidRPr="00234E2D" w:rsidRDefault="00C1023F" w:rsidP="0038724D">
      <w:pPr>
        <w:spacing w:after="0" w:line="240" w:lineRule="auto"/>
        <w:rPr>
          <w:rFonts w:ascii="Cambria" w:eastAsia="Times New Roman" w:hAnsi="Cambria" w:cs="Arial"/>
          <w:color w:val="000000"/>
          <w:kern w:val="0"/>
          <w14:ligatures w14:val="none"/>
        </w:rPr>
      </w:pPr>
      <w:r w:rsidRPr="00234E2D">
        <w:rPr>
          <w:rFonts w:ascii="Cambria" w:hAnsi="Cambria"/>
        </w:rPr>
        <w:t xml:space="preserve">This Article does not argue that enumeration alone exhausts constitutional meaning, nor that every rejected proposal is dispositive. Rather, it advances a sequence-based inference: when the Convention (1) completes enumeration, (2) subsequently considers a specific power, and (3) expressly rejects that power </w:t>
      </w:r>
      <w:r w:rsidRPr="00234E2D">
        <w:rPr>
          <w:rFonts w:ascii="Cambria" w:hAnsi="Cambria"/>
        </w:rPr>
        <w:lastRenderedPageBreak/>
        <w:t xml:space="preserve">after informed debate, such refusal constrains later claims that the power was implicitly granted all along. This approach differs from abstract </w:t>
      </w:r>
      <w:r w:rsidR="004E1302" w:rsidRPr="00234E2D">
        <w:rPr>
          <w:rFonts w:ascii="Cambria" w:hAnsi="Cambria"/>
        </w:rPr>
        <w:t xml:space="preserve">or categorical </w:t>
      </w:r>
      <w:r w:rsidRPr="00234E2D">
        <w:rPr>
          <w:rFonts w:ascii="Cambria" w:hAnsi="Cambria"/>
        </w:rPr>
        <w:t>“</w:t>
      </w:r>
      <w:proofErr w:type="spellStart"/>
      <w:r w:rsidRPr="00234E2D">
        <w:rPr>
          <w:rFonts w:ascii="Cambria" w:hAnsi="Cambria"/>
        </w:rPr>
        <w:t>enumerationism</w:t>
      </w:r>
      <w:proofErr w:type="spellEnd"/>
      <w:r w:rsidRPr="00234E2D">
        <w:rPr>
          <w:rFonts w:ascii="Cambria" w:hAnsi="Cambria"/>
        </w:rPr>
        <w:t>” by grounding limits in concrete institutional behavior, committee action, vote margins, and timing. It aligns with historical methods employed by early commentators such as St. George Tucker and with modern historical approaches to enumerated powers, while extending them through procedural analysis</w:t>
      </w:r>
      <w:r w:rsidR="00305F0D" w:rsidRPr="00234E2D">
        <w:rPr>
          <w:rFonts w:ascii="Cambria" w:hAnsi="Cambria"/>
        </w:rPr>
        <w:t xml:space="preserve">. </w:t>
      </w:r>
      <w:r w:rsidR="00D33802" w:rsidRPr="00234E2D">
        <w:rPr>
          <w:rFonts w:ascii="Cambria" w:eastAsia="Times New Roman" w:hAnsi="Cambria" w:cs="Arial"/>
          <w:color w:val="000000"/>
          <w:kern w:val="0"/>
          <w14:ligatures w14:val="none"/>
        </w:rPr>
        <w:t xml:space="preserve">Post-enumeration refusal does not merely weaken later claims of implication but affirmatively </w:t>
      </w:r>
      <w:proofErr w:type="gramStart"/>
      <w:r w:rsidR="00D33802" w:rsidRPr="00234E2D">
        <w:rPr>
          <w:rFonts w:ascii="Cambria" w:eastAsia="Times New Roman" w:hAnsi="Cambria" w:cs="Arial"/>
          <w:color w:val="000000"/>
          <w:kern w:val="0"/>
          <w14:ligatures w14:val="none"/>
        </w:rPr>
        <w:t>forecloses</w:t>
      </w:r>
      <w:proofErr w:type="gramEnd"/>
      <w:r w:rsidR="00D33802" w:rsidRPr="00234E2D">
        <w:rPr>
          <w:rFonts w:ascii="Cambria" w:eastAsia="Times New Roman" w:hAnsi="Cambria" w:cs="Arial"/>
          <w:color w:val="000000"/>
          <w:kern w:val="0"/>
          <w14:ligatures w14:val="none"/>
        </w:rPr>
        <w:t xml:space="preserve"> them.</w:t>
      </w:r>
    </w:p>
    <w:p w14:paraId="43245EA9" w14:textId="595C83C1" w:rsidR="00C1023F" w:rsidRPr="00234E2D" w:rsidRDefault="00C1023F" w:rsidP="00C1023F">
      <w:pPr>
        <w:spacing w:after="0" w:line="240" w:lineRule="auto"/>
        <w:rPr>
          <w:rFonts w:ascii="Cambria" w:hAnsi="Cambria"/>
        </w:rPr>
      </w:pPr>
    </w:p>
    <w:p w14:paraId="65504FC9" w14:textId="03474478" w:rsidR="00C1023F" w:rsidRPr="00234E2D" w:rsidRDefault="00C1023F" w:rsidP="00C1023F">
      <w:pPr>
        <w:spacing w:after="0" w:line="240" w:lineRule="auto"/>
        <w:rPr>
          <w:rFonts w:ascii="Cambria" w:hAnsi="Cambria"/>
          <w:b/>
          <w:bCs/>
        </w:rPr>
      </w:pPr>
      <w:r w:rsidRPr="00234E2D">
        <w:rPr>
          <w:rFonts w:ascii="Cambria" w:hAnsi="Cambria"/>
          <w:b/>
          <w:bCs/>
        </w:rPr>
        <w:t>I. Enumeration and Refinement: Scope Settled, Details Adjusted</w:t>
      </w:r>
    </w:p>
    <w:p w14:paraId="5511BC6B" w14:textId="02D6D196" w:rsidR="00C1023F" w:rsidRPr="00234E2D" w:rsidRDefault="00C1023F" w:rsidP="00C1023F">
      <w:pPr>
        <w:spacing w:after="0" w:line="240" w:lineRule="auto"/>
        <w:rPr>
          <w:rFonts w:ascii="Cambria" w:hAnsi="Cambria"/>
        </w:rPr>
      </w:pPr>
      <w:r w:rsidRPr="00234E2D">
        <w:rPr>
          <w:rFonts w:ascii="Cambria" w:hAnsi="Cambria"/>
        </w:rPr>
        <w:t>By late August and early September 1787, the Constitutional Convention had settled the scope of congressional authority, even as it continued to refine the details of enumerated powers. The Convention adjusted language, added constraints, and clarified mechanisms</w:t>
      </w:r>
      <w:r w:rsidR="00453234" w:rsidRPr="00234E2D">
        <w:rPr>
          <w:rFonts w:ascii="Cambria" w:hAnsi="Cambria"/>
        </w:rPr>
        <w:t xml:space="preserve"> - </w:t>
      </w:r>
      <w:r w:rsidRPr="00234E2D">
        <w:rPr>
          <w:rFonts w:ascii="Cambria" w:hAnsi="Cambria"/>
        </w:rPr>
        <w:t>adding limits on military appropriations, specifying origination of revenue bills, authorizing patents and copyrights, and defining exclusive federal jurisdiction over the seat of government.</w:t>
      </w:r>
      <w:r w:rsidR="00C35A32" w:rsidRPr="00234E2D">
        <w:rPr>
          <w:rStyle w:val="FootnoteReference"/>
          <w:rFonts w:ascii="Cambria" w:hAnsi="Cambria"/>
        </w:rPr>
        <w:footnoteReference w:id="1"/>
      </w:r>
    </w:p>
    <w:p w14:paraId="63542783" w14:textId="77777777" w:rsidR="00C1023F" w:rsidRPr="00234E2D" w:rsidRDefault="00C1023F" w:rsidP="00C1023F">
      <w:pPr>
        <w:spacing w:after="0" w:line="240" w:lineRule="auto"/>
        <w:rPr>
          <w:rFonts w:ascii="Cambria" w:hAnsi="Cambria"/>
        </w:rPr>
      </w:pPr>
    </w:p>
    <w:p w14:paraId="24762C04" w14:textId="0B14387B" w:rsidR="00C1023F" w:rsidRPr="00234E2D" w:rsidRDefault="00C1023F" w:rsidP="00C1023F">
      <w:pPr>
        <w:spacing w:after="0" w:line="240" w:lineRule="auto"/>
        <w:rPr>
          <w:rFonts w:ascii="Cambria" w:hAnsi="Cambria"/>
        </w:rPr>
      </w:pPr>
      <w:r w:rsidRPr="00234E2D">
        <w:rPr>
          <w:rFonts w:ascii="Cambria" w:hAnsi="Cambria"/>
        </w:rPr>
        <w:t xml:space="preserve">These refinements did not expand the subject-matter reach of federal power. Where proposals would have added new categories of national economic authority - particularly authority to </w:t>
      </w:r>
      <w:r w:rsidRPr="00234E2D">
        <w:rPr>
          <w:rFonts w:ascii="Cambria" w:hAnsi="Cambria"/>
          <w:i/>
          <w:iCs/>
        </w:rPr>
        <w:t>assist</w:t>
      </w:r>
      <w:r w:rsidRPr="00234E2D">
        <w:rPr>
          <w:rFonts w:ascii="Cambria" w:hAnsi="Cambria"/>
        </w:rPr>
        <w:t xml:space="preserve"> commerce through construction or incorporation - the Convention addressed them separately and rejected them expressly.</w:t>
      </w:r>
    </w:p>
    <w:p w14:paraId="0281412B" w14:textId="77777777" w:rsidR="00C1023F" w:rsidRPr="00234E2D" w:rsidRDefault="00C1023F" w:rsidP="00C1023F">
      <w:pPr>
        <w:spacing w:after="0" w:line="240" w:lineRule="auto"/>
        <w:rPr>
          <w:rFonts w:ascii="Cambria" w:hAnsi="Cambria"/>
        </w:rPr>
      </w:pPr>
    </w:p>
    <w:p w14:paraId="64835271" w14:textId="77777777" w:rsidR="00C1023F" w:rsidRPr="00234E2D" w:rsidRDefault="00C1023F" w:rsidP="00C1023F">
      <w:pPr>
        <w:spacing w:after="0" w:line="240" w:lineRule="auto"/>
        <w:rPr>
          <w:rFonts w:ascii="Cambria" w:hAnsi="Cambria"/>
        </w:rPr>
      </w:pPr>
      <w:r w:rsidRPr="00234E2D">
        <w:rPr>
          <w:rFonts w:ascii="Cambria" w:hAnsi="Cambria"/>
        </w:rPr>
        <w:t>Until the Committee of Style reorganized the text, the enumerated powers appeared in different draft sections later consolidated into Article I, Section 8. The substance, however, had been agreed upon before the Convention confronted proposals to go further.</w:t>
      </w:r>
    </w:p>
    <w:p w14:paraId="1CFEB3B6" w14:textId="70C3ED44" w:rsidR="00C1023F" w:rsidRPr="00234E2D" w:rsidRDefault="00C1023F" w:rsidP="00C1023F">
      <w:pPr>
        <w:spacing w:after="0" w:line="240" w:lineRule="auto"/>
        <w:rPr>
          <w:rFonts w:ascii="Cambria" w:hAnsi="Cambria"/>
        </w:rPr>
      </w:pPr>
    </w:p>
    <w:p w14:paraId="72410DDA" w14:textId="77777777" w:rsidR="00C1023F" w:rsidRPr="00234E2D" w:rsidRDefault="00C1023F" w:rsidP="00C1023F">
      <w:pPr>
        <w:spacing w:after="0" w:line="240" w:lineRule="auto"/>
        <w:rPr>
          <w:rFonts w:ascii="Cambria" w:hAnsi="Cambria"/>
          <w:b/>
          <w:bCs/>
        </w:rPr>
      </w:pPr>
      <w:r w:rsidRPr="00234E2D">
        <w:rPr>
          <w:rFonts w:ascii="Cambria" w:hAnsi="Cambria"/>
          <w:b/>
          <w:bCs/>
        </w:rPr>
        <w:t>II. August 18, 1787: Incorporation Proposed and Withheld</w:t>
      </w:r>
    </w:p>
    <w:p w14:paraId="61B55BA5" w14:textId="7151ADCF" w:rsidR="009959CE" w:rsidRPr="00234E2D" w:rsidRDefault="00C1023F" w:rsidP="00C1023F">
      <w:pPr>
        <w:spacing w:after="0" w:line="240" w:lineRule="auto"/>
        <w:rPr>
          <w:rFonts w:ascii="Cambria" w:hAnsi="Cambria"/>
        </w:rPr>
      </w:pPr>
      <w:r w:rsidRPr="00234E2D">
        <w:rPr>
          <w:rFonts w:ascii="Cambria" w:hAnsi="Cambria"/>
        </w:rPr>
        <w:t xml:space="preserve">On August 18, 1787, James Madison proposed </w:t>
      </w:r>
      <w:r w:rsidR="00372554" w:rsidRPr="00234E2D">
        <w:rPr>
          <w:rFonts w:ascii="Cambria" w:hAnsi="Cambria"/>
        </w:rPr>
        <w:t>a list of nine powers “to be added to those of the General Legislature.” Among these was a</w:t>
      </w:r>
      <w:r w:rsidRPr="00234E2D">
        <w:rPr>
          <w:rFonts w:ascii="Cambria" w:hAnsi="Cambria"/>
        </w:rPr>
        <w:t xml:space="preserve"> </w:t>
      </w:r>
      <w:r w:rsidR="000A6A0F" w:rsidRPr="00234E2D">
        <w:rPr>
          <w:rFonts w:ascii="Cambria" w:hAnsi="Cambria"/>
        </w:rPr>
        <w:t xml:space="preserve">power </w:t>
      </w:r>
      <w:r w:rsidRPr="00234E2D">
        <w:rPr>
          <w:rFonts w:ascii="Cambria" w:hAnsi="Cambria"/>
        </w:rPr>
        <w:t>“to grant charters of incorporation in cases where the public good may require them, and the authority of a single State may be incompetent.”</w:t>
      </w:r>
      <w:r w:rsidR="00C35A32" w:rsidRPr="00234E2D">
        <w:rPr>
          <w:rStyle w:val="FootnoteReference"/>
          <w:rFonts w:ascii="Cambria" w:hAnsi="Cambria"/>
        </w:rPr>
        <w:footnoteReference w:id="2"/>
      </w:r>
      <w:r w:rsidRPr="00234E2D">
        <w:rPr>
          <w:rFonts w:ascii="Cambria" w:hAnsi="Cambria"/>
        </w:rPr>
        <w:t xml:space="preserve"> Charles Pinckney independently proposed a </w:t>
      </w:r>
      <w:r w:rsidR="00372554" w:rsidRPr="00234E2D">
        <w:rPr>
          <w:rFonts w:ascii="Cambria" w:hAnsi="Cambria"/>
        </w:rPr>
        <w:t>list of 11 additional power</w:t>
      </w:r>
      <w:r w:rsidR="00E80487" w:rsidRPr="00234E2D">
        <w:rPr>
          <w:rFonts w:ascii="Cambria" w:hAnsi="Cambria"/>
        </w:rPr>
        <w:t>s</w:t>
      </w:r>
      <w:r w:rsidR="00372554" w:rsidRPr="00234E2D">
        <w:rPr>
          <w:rFonts w:ascii="Cambria" w:hAnsi="Cambria"/>
        </w:rPr>
        <w:t xml:space="preserve">, </w:t>
      </w:r>
      <w:r w:rsidR="00E80487" w:rsidRPr="00234E2D">
        <w:rPr>
          <w:rFonts w:ascii="Cambria" w:hAnsi="Cambria"/>
        </w:rPr>
        <w:t>including a power ‘to grant charters of incorporation,’ as well as a power ‘to establish public institutions, rewards, and immunities for the promotion of agriculture, commerce, trades and manufactures.</w:t>
      </w:r>
      <w:r w:rsidR="00F21784" w:rsidRPr="00234E2D">
        <w:rPr>
          <w:rFonts w:ascii="Cambria" w:hAnsi="Cambria"/>
        </w:rPr>
        <w:t>”</w:t>
      </w:r>
      <w:r w:rsidR="00C35A32" w:rsidRPr="00234E2D">
        <w:rPr>
          <w:rStyle w:val="FootnoteReference"/>
          <w:rFonts w:ascii="Cambria" w:hAnsi="Cambria"/>
        </w:rPr>
        <w:footnoteReference w:id="3"/>
      </w:r>
    </w:p>
    <w:p w14:paraId="6453D494" w14:textId="77777777" w:rsidR="00EE3B3E" w:rsidRPr="00234E2D" w:rsidRDefault="00EE3B3E" w:rsidP="00C1023F">
      <w:pPr>
        <w:spacing w:after="0" w:line="240" w:lineRule="auto"/>
        <w:rPr>
          <w:rFonts w:ascii="Cambria" w:hAnsi="Cambria"/>
        </w:rPr>
      </w:pPr>
    </w:p>
    <w:p w14:paraId="306572F1" w14:textId="03B6C981" w:rsidR="00C1023F" w:rsidRPr="00234E2D" w:rsidRDefault="00C1023F" w:rsidP="00C1023F">
      <w:pPr>
        <w:spacing w:after="0" w:line="240" w:lineRule="auto"/>
        <w:rPr>
          <w:rFonts w:ascii="Cambria" w:hAnsi="Cambria"/>
        </w:rPr>
      </w:pPr>
      <w:r w:rsidRPr="00234E2D">
        <w:rPr>
          <w:rFonts w:ascii="Cambria" w:hAnsi="Cambria"/>
        </w:rPr>
        <w:t xml:space="preserve">Madison’s Notes record that both </w:t>
      </w:r>
      <w:r w:rsidR="00F21784" w:rsidRPr="00234E2D">
        <w:rPr>
          <w:rFonts w:ascii="Cambria" w:hAnsi="Cambria"/>
        </w:rPr>
        <w:t>lists</w:t>
      </w:r>
      <w:r w:rsidRPr="00234E2D">
        <w:rPr>
          <w:rFonts w:ascii="Cambria" w:hAnsi="Cambria"/>
        </w:rPr>
        <w:t xml:space="preserve"> were unanimously referred to the Committee of Detail.</w:t>
      </w:r>
      <w:r w:rsidR="00C35A32" w:rsidRPr="00234E2D">
        <w:rPr>
          <w:rStyle w:val="FootnoteReference"/>
          <w:rFonts w:ascii="Cambria" w:hAnsi="Cambria"/>
        </w:rPr>
        <w:footnoteReference w:id="4"/>
      </w:r>
      <w:r w:rsidRPr="00234E2D">
        <w:rPr>
          <w:rFonts w:ascii="Cambria" w:hAnsi="Cambria"/>
        </w:rPr>
        <w:t xml:space="preserve"> That Committee</w:t>
      </w:r>
      <w:r w:rsidR="00EE3B3E" w:rsidRPr="00234E2D">
        <w:rPr>
          <w:rFonts w:ascii="Cambria" w:hAnsi="Cambria"/>
        </w:rPr>
        <w:t xml:space="preserve"> - </w:t>
      </w:r>
      <w:r w:rsidRPr="00234E2D">
        <w:rPr>
          <w:rFonts w:ascii="Cambria" w:hAnsi="Cambria"/>
        </w:rPr>
        <w:t>John Rutledge (Chair), Edmund Randolph, James Wilson, Nathaniel Gorham, and Oliver Ellsworth</w:t>
      </w:r>
      <w:r w:rsidR="00EE3B3E" w:rsidRPr="00234E2D">
        <w:rPr>
          <w:rFonts w:ascii="Cambria" w:hAnsi="Cambria"/>
        </w:rPr>
        <w:t xml:space="preserve"> </w:t>
      </w:r>
      <w:r w:rsidR="00F21784" w:rsidRPr="00234E2D">
        <w:rPr>
          <w:rFonts w:ascii="Cambria" w:hAnsi="Cambria"/>
        </w:rPr>
        <w:t>–</w:t>
      </w:r>
      <w:r w:rsidR="00EE3B3E" w:rsidRPr="00234E2D">
        <w:rPr>
          <w:rFonts w:ascii="Cambria" w:hAnsi="Cambria"/>
        </w:rPr>
        <w:t xml:space="preserve"> </w:t>
      </w:r>
      <w:r w:rsidR="00F21784" w:rsidRPr="00234E2D">
        <w:rPr>
          <w:rFonts w:ascii="Cambria" w:hAnsi="Cambria"/>
        </w:rPr>
        <w:t xml:space="preserve">despite incorporating other referred proposals, </w:t>
      </w:r>
      <w:r w:rsidRPr="00234E2D">
        <w:rPr>
          <w:rFonts w:ascii="Cambria" w:hAnsi="Cambria"/>
        </w:rPr>
        <w:t xml:space="preserve">did not include </w:t>
      </w:r>
      <w:r w:rsidR="00F21784" w:rsidRPr="00234E2D">
        <w:rPr>
          <w:rFonts w:ascii="Cambria" w:hAnsi="Cambria"/>
        </w:rPr>
        <w:t>these</w:t>
      </w:r>
      <w:r w:rsidRPr="00234E2D">
        <w:rPr>
          <w:rFonts w:ascii="Cambria" w:hAnsi="Cambria"/>
        </w:rPr>
        <w:t xml:space="preserve"> power</w:t>
      </w:r>
      <w:r w:rsidR="00F21784" w:rsidRPr="00234E2D">
        <w:rPr>
          <w:rFonts w:ascii="Cambria" w:hAnsi="Cambria"/>
        </w:rPr>
        <w:t>s</w:t>
      </w:r>
      <w:r w:rsidRPr="00234E2D">
        <w:rPr>
          <w:rFonts w:ascii="Cambria" w:hAnsi="Cambria"/>
        </w:rPr>
        <w:t xml:space="preserve"> in </w:t>
      </w:r>
      <w:r w:rsidR="00F21784" w:rsidRPr="00234E2D">
        <w:rPr>
          <w:rFonts w:ascii="Cambria" w:hAnsi="Cambria"/>
        </w:rPr>
        <w:t>its final</w:t>
      </w:r>
      <w:r w:rsidRPr="00234E2D">
        <w:rPr>
          <w:rFonts w:ascii="Cambria" w:hAnsi="Cambria"/>
        </w:rPr>
        <w:t xml:space="preserve"> constitutional draft prepared and later transmitted to the Committee of Style.</w:t>
      </w:r>
      <w:r w:rsidR="00C35A32" w:rsidRPr="00234E2D">
        <w:rPr>
          <w:rStyle w:val="FootnoteReference"/>
          <w:rFonts w:ascii="Cambria" w:hAnsi="Cambria"/>
        </w:rPr>
        <w:footnoteReference w:id="5"/>
      </w:r>
    </w:p>
    <w:p w14:paraId="023108F9" w14:textId="77777777" w:rsidR="00EE3B3E" w:rsidRPr="00234E2D" w:rsidRDefault="00EE3B3E" w:rsidP="00C1023F">
      <w:pPr>
        <w:spacing w:after="0" w:line="240" w:lineRule="auto"/>
        <w:rPr>
          <w:rFonts w:ascii="Cambria" w:hAnsi="Cambria"/>
        </w:rPr>
      </w:pPr>
    </w:p>
    <w:p w14:paraId="3EF75254" w14:textId="1A8A447F" w:rsidR="00C1023F" w:rsidRPr="00234E2D" w:rsidRDefault="00C1023F" w:rsidP="00C1023F">
      <w:pPr>
        <w:spacing w:after="0" w:line="240" w:lineRule="auto"/>
        <w:rPr>
          <w:rFonts w:ascii="Cambria" w:hAnsi="Cambria"/>
        </w:rPr>
      </w:pPr>
      <w:r w:rsidRPr="00234E2D">
        <w:rPr>
          <w:rFonts w:ascii="Cambria" w:hAnsi="Cambria"/>
        </w:rPr>
        <w:t>The omission is significant. The Convention demonstrated its capacity to enumerate powers with specificity. The absence of incorporation authority after express referral reflects deliberate refusal rather than inadvertence.</w:t>
      </w:r>
    </w:p>
    <w:p w14:paraId="311E44FF" w14:textId="717BCB9C" w:rsidR="00C1023F" w:rsidRPr="00234E2D" w:rsidRDefault="00C1023F" w:rsidP="00C1023F">
      <w:pPr>
        <w:spacing w:after="0" w:line="240" w:lineRule="auto"/>
        <w:rPr>
          <w:rFonts w:ascii="Cambria" w:hAnsi="Cambria"/>
        </w:rPr>
      </w:pPr>
    </w:p>
    <w:p w14:paraId="7149B45D" w14:textId="77777777" w:rsidR="00C1023F" w:rsidRPr="00234E2D" w:rsidRDefault="00C1023F" w:rsidP="00C1023F">
      <w:pPr>
        <w:spacing w:after="0" w:line="240" w:lineRule="auto"/>
        <w:rPr>
          <w:rFonts w:ascii="Cambria" w:hAnsi="Cambria"/>
          <w:b/>
          <w:bCs/>
        </w:rPr>
      </w:pPr>
      <w:r w:rsidRPr="00234E2D">
        <w:rPr>
          <w:rFonts w:ascii="Cambria" w:hAnsi="Cambria"/>
          <w:b/>
          <w:bCs/>
        </w:rPr>
        <w:t>III. August 23, 1787: Federal Veto over State Laws Rejected</w:t>
      </w:r>
    </w:p>
    <w:p w14:paraId="339949CC" w14:textId="44AF80BC" w:rsidR="00C1023F" w:rsidRPr="00234E2D" w:rsidRDefault="00C1023F" w:rsidP="00C1023F">
      <w:pPr>
        <w:spacing w:after="0" w:line="240" w:lineRule="auto"/>
        <w:rPr>
          <w:rFonts w:ascii="Cambria" w:hAnsi="Cambria"/>
        </w:rPr>
      </w:pPr>
      <w:r w:rsidRPr="00234E2D">
        <w:rPr>
          <w:rFonts w:ascii="Cambria" w:hAnsi="Cambria"/>
        </w:rPr>
        <w:t>On August 23, 1787, Pinckney proposed a narrowed version of a federal veto over state legislation, scaled back from the broader congressional negative he had unsuccessfully advanced earlier in the Convention</w:t>
      </w:r>
      <w:r w:rsidR="005848F1" w:rsidRPr="00234E2D">
        <w:rPr>
          <w:rFonts w:ascii="Cambria" w:hAnsi="Cambria"/>
        </w:rPr>
        <w:t xml:space="preserve"> on June 8</w:t>
      </w:r>
      <w:r w:rsidRPr="00234E2D">
        <w:rPr>
          <w:rFonts w:ascii="Cambria" w:hAnsi="Cambria"/>
        </w:rPr>
        <w:t>.</w:t>
      </w:r>
      <w:r w:rsidR="00A83692" w:rsidRPr="00234E2D">
        <w:rPr>
          <w:rStyle w:val="FootnoteReference"/>
          <w:rFonts w:ascii="Cambria" w:hAnsi="Cambria"/>
        </w:rPr>
        <w:footnoteReference w:id="6"/>
      </w:r>
    </w:p>
    <w:p w14:paraId="4E94AA21" w14:textId="77777777" w:rsidR="00EE3B3E" w:rsidRPr="00234E2D" w:rsidRDefault="00EE3B3E" w:rsidP="00C1023F">
      <w:pPr>
        <w:spacing w:after="0" w:line="240" w:lineRule="auto"/>
        <w:rPr>
          <w:rFonts w:ascii="Cambria" w:hAnsi="Cambria"/>
        </w:rPr>
      </w:pPr>
    </w:p>
    <w:p w14:paraId="1AB0F43F" w14:textId="1C3D68FE" w:rsidR="00C1023F" w:rsidRPr="00234E2D" w:rsidRDefault="00C1023F" w:rsidP="00C1023F">
      <w:pPr>
        <w:spacing w:after="0" w:line="240" w:lineRule="auto"/>
        <w:rPr>
          <w:rFonts w:ascii="Cambria" w:hAnsi="Cambria"/>
        </w:rPr>
      </w:pPr>
      <w:r w:rsidRPr="00234E2D">
        <w:rPr>
          <w:rFonts w:ascii="Cambria" w:hAnsi="Cambria"/>
        </w:rPr>
        <w:t>The debate revealed a shared understanding of the proposal’s implications. Roger Sherman argued that the Supremacy Clause rendered such a veto unnecessary.</w:t>
      </w:r>
      <w:r w:rsidR="00A83692" w:rsidRPr="00234E2D">
        <w:rPr>
          <w:rStyle w:val="FootnoteReference"/>
          <w:rFonts w:ascii="Cambria" w:hAnsi="Cambria"/>
        </w:rPr>
        <w:footnoteReference w:id="7"/>
      </w:r>
      <w:r w:rsidRPr="00234E2D">
        <w:rPr>
          <w:rFonts w:ascii="Cambria" w:hAnsi="Cambria"/>
        </w:rPr>
        <w:t xml:space="preserve"> Oliver Ellsworth warned that it would require federal control over state legislative machinery.</w:t>
      </w:r>
      <w:r w:rsidR="00A83692" w:rsidRPr="00234E2D">
        <w:rPr>
          <w:rStyle w:val="FootnoteReference"/>
          <w:rFonts w:ascii="Cambria" w:hAnsi="Cambria"/>
        </w:rPr>
        <w:footnoteReference w:id="8"/>
      </w:r>
      <w:r w:rsidRPr="00234E2D">
        <w:rPr>
          <w:rFonts w:ascii="Cambria" w:hAnsi="Cambria"/>
        </w:rPr>
        <w:t xml:space="preserve"> George Mason asked whether every road or bridge would require national approval.</w:t>
      </w:r>
      <w:r w:rsidR="00A83692" w:rsidRPr="00234E2D">
        <w:rPr>
          <w:rStyle w:val="FootnoteReference"/>
          <w:rFonts w:ascii="Cambria" w:hAnsi="Cambria"/>
        </w:rPr>
        <w:footnoteReference w:id="9"/>
      </w:r>
      <w:r w:rsidRPr="00234E2D">
        <w:rPr>
          <w:rFonts w:ascii="Cambria" w:hAnsi="Cambria"/>
        </w:rPr>
        <w:t xml:space="preserve"> John Rutledge declared that “if nothing else, this alone would damn and ought to damn the Constitution,” reducing the states to “mere corporations.”</w:t>
      </w:r>
      <w:r w:rsidR="00A83692" w:rsidRPr="00234E2D">
        <w:rPr>
          <w:rStyle w:val="FootnoteReference"/>
          <w:rFonts w:ascii="Cambria" w:hAnsi="Cambria"/>
        </w:rPr>
        <w:footnoteReference w:id="10"/>
      </w:r>
    </w:p>
    <w:p w14:paraId="5EC47267" w14:textId="77777777" w:rsidR="00EE3B3E" w:rsidRPr="00234E2D" w:rsidRDefault="00EE3B3E" w:rsidP="00C1023F">
      <w:pPr>
        <w:spacing w:after="0" w:line="240" w:lineRule="auto"/>
        <w:rPr>
          <w:rFonts w:ascii="Cambria" w:hAnsi="Cambria"/>
        </w:rPr>
      </w:pPr>
    </w:p>
    <w:p w14:paraId="1196E643" w14:textId="20F573A9" w:rsidR="00C1023F" w:rsidRPr="00234E2D" w:rsidRDefault="00C1023F" w:rsidP="00C1023F">
      <w:pPr>
        <w:spacing w:after="0" w:line="240" w:lineRule="auto"/>
        <w:rPr>
          <w:rFonts w:ascii="Cambria" w:hAnsi="Cambria"/>
        </w:rPr>
      </w:pPr>
      <w:r w:rsidRPr="00234E2D">
        <w:rPr>
          <w:rFonts w:ascii="Cambria" w:hAnsi="Cambria"/>
        </w:rPr>
        <w:t>The motion failed</w:t>
      </w:r>
      <w:r w:rsidR="009959CE" w:rsidRPr="00234E2D">
        <w:rPr>
          <w:rFonts w:ascii="Cambria" w:hAnsi="Cambria"/>
        </w:rPr>
        <w:t xml:space="preserve"> by a vote of six state</w:t>
      </w:r>
      <w:r w:rsidR="00E6023C" w:rsidRPr="00234E2D">
        <w:rPr>
          <w:rFonts w:ascii="Cambria" w:hAnsi="Cambria"/>
        </w:rPr>
        <w:t xml:space="preserve"> delegations</w:t>
      </w:r>
      <w:r w:rsidR="009959CE" w:rsidRPr="00234E2D">
        <w:rPr>
          <w:rFonts w:ascii="Cambria" w:hAnsi="Cambria"/>
        </w:rPr>
        <w:t xml:space="preserve"> to five</w:t>
      </w:r>
      <w:r w:rsidRPr="00234E2D">
        <w:rPr>
          <w:rFonts w:ascii="Cambria" w:hAnsi="Cambria"/>
        </w:rPr>
        <w:t>.</w:t>
      </w:r>
      <w:r w:rsidR="00A83692" w:rsidRPr="00234E2D">
        <w:rPr>
          <w:rStyle w:val="FootnoteReference"/>
          <w:rFonts w:ascii="Cambria" w:hAnsi="Cambria"/>
        </w:rPr>
        <w:footnoteReference w:id="11"/>
      </w:r>
      <w:r w:rsidRPr="00234E2D">
        <w:rPr>
          <w:rFonts w:ascii="Cambria" w:hAnsi="Cambria"/>
        </w:rPr>
        <w:t xml:space="preserve"> The Convention thus rejected centralized oversight of local lawmaking with full appreciation of its consequences.</w:t>
      </w:r>
    </w:p>
    <w:p w14:paraId="650C55DB" w14:textId="3165BCA0" w:rsidR="00C1023F" w:rsidRPr="00234E2D" w:rsidRDefault="00C1023F" w:rsidP="00C1023F">
      <w:pPr>
        <w:spacing w:after="0" w:line="240" w:lineRule="auto"/>
        <w:rPr>
          <w:rFonts w:ascii="Cambria" w:hAnsi="Cambria"/>
        </w:rPr>
      </w:pPr>
    </w:p>
    <w:p w14:paraId="25469145" w14:textId="77777777" w:rsidR="00C1023F" w:rsidRPr="00234E2D" w:rsidRDefault="00C1023F" w:rsidP="00C1023F">
      <w:pPr>
        <w:spacing w:after="0" w:line="240" w:lineRule="auto"/>
        <w:rPr>
          <w:rFonts w:ascii="Cambria" w:hAnsi="Cambria"/>
          <w:b/>
          <w:bCs/>
        </w:rPr>
      </w:pPr>
      <w:r w:rsidRPr="00234E2D">
        <w:rPr>
          <w:rFonts w:ascii="Cambria" w:hAnsi="Cambria"/>
          <w:b/>
          <w:bCs/>
        </w:rPr>
        <w:t>IV. The Committee of Style: Final Review Without Expansion</w:t>
      </w:r>
    </w:p>
    <w:p w14:paraId="1F3FCE53" w14:textId="0C6F6D2C" w:rsidR="00C1023F" w:rsidRPr="00234E2D" w:rsidRDefault="00C1023F" w:rsidP="00C1023F">
      <w:pPr>
        <w:spacing w:after="0" w:line="240" w:lineRule="auto"/>
        <w:rPr>
          <w:rFonts w:ascii="Cambria" w:hAnsi="Cambria"/>
        </w:rPr>
      </w:pPr>
      <w:r w:rsidRPr="00234E2D">
        <w:rPr>
          <w:rFonts w:ascii="Cambria" w:hAnsi="Cambria"/>
        </w:rPr>
        <w:t>On September 8, 1787, the Convention established a Committee of Style to revise the Constitution’s draft language without altering its substance and to arrange the articles already agreed upon by the delegates. The Committee consisted of William Samuel Johnson (Chair), James Madison, Rufus King, Alexander Hamilton, and Gouverneur Morris.</w:t>
      </w:r>
      <w:r w:rsidR="00A83692" w:rsidRPr="00234E2D">
        <w:rPr>
          <w:rStyle w:val="FootnoteReference"/>
          <w:rFonts w:ascii="Cambria" w:hAnsi="Cambria"/>
        </w:rPr>
        <w:footnoteReference w:id="12"/>
      </w:r>
    </w:p>
    <w:p w14:paraId="14A5BA08" w14:textId="77777777" w:rsidR="00EE3B3E" w:rsidRPr="00234E2D" w:rsidRDefault="00EE3B3E" w:rsidP="00C1023F">
      <w:pPr>
        <w:spacing w:after="0" w:line="240" w:lineRule="auto"/>
        <w:rPr>
          <w:rFonts w:ascii="Cambria" w:hAnsi="Cambria"/>
        </w:rPr>
      </w:pPr>
    </w:p>
    <w:p w14:paraId="22D00A97" w14:textId="22F17E02" w:rsidR="006704CA" w:rsidRPr="00234E2D" w:rsidRDefault="00C1023F" w:rsidP="006704CA">
      <w:pPr>
        <w:spacing w:after="0" w:line="240" w:lineRule="auto"/>
        <w:rPr>
          <w:rFonts w:ascii="Cambria" w:hAnsi="Cambria"/>
        </w:rPr>
      </w:pPr>
      <w:r w:rsidRPr="00234E2D">
        <w:rPr>
          <w:rFonts w:ascii="Cambria" w:hAnsi="Cambria"/>
        </w:rPr>
        <w:t xml:space="preserve">Despite full familiarity with the scope of enumerated powers and the Convention’s earlier refusals, the Committee of Style did not reinsert authority to charter corporations, fund canals, or otherwise assist commerce. </w:t>
      </w:r>
      <w:r w:rsidR="006704CA" w:rsidRPr="00234E2D">
        <w:rPr>
          <w:rFonts w:ascii="Cambria" w:hAnsi="Cambria"/>
        </w:rPr>
        <w:t xml:space="preserve">Its silence confirms that earlier omissions were understood and </w:t>
      </w:r>
      <w:r w:rsidR="004E1302" w:rsidRPr="00234E2D">
        <w:rPr>
          <w:rFonts w:ascii="Cambria" w:hAnsi="Cambria"/>
        </w:rPr>
        <w:t xml:space="preserve">deliberately </w:t>
      </w:r>
      <w:r w:rsidR="006704CA" w:rsidRPr="00234E2D">
        <w:rPr>
          <w:rFonts w:ascii="Cambria" w:hAnsi="Cambria"/>
        </w:rPr>
        <w:t>preserved.</w:t>
      </w:r>
    </w:p>
    <w:p w14:paraId="04B006C7" w14:textId="34DE753C" w:rsidR="00C1023F" w:rsidRPr="00234E2D" w:rsidRDefault="00C1023F" w:rsidP="00C1023F">
      <w:pPr>
        <w:spacing w:after="0" w:line="240" w:lineRule="auto"/>
        <w:rPr>
          <w:rFonts w:ascii="Cambria" w:hAnsi="Cambria"/>
        </w:rPr>
      </w:pPr>
    </w:p>
    <w:p w14:paraId="7000A707" w14:textId="717878A5" w:rsidR="00C1023F" w:rsidRPr="00234E2D" w:rsidRDefault="00C1023F" w:rsidP="00C1023F">
      <w:pPr>
        <w:spacing w:after="0" w:line="240" w:lineRule="auto"/>
        <w:rPr>
          <w:rFonts w:ascii="Cambria" w:hAnsi="Cambria"/>
          <w:b/>
          <w:bCs/>
        </w:rPr>
      </w:pPr>
      <w:r w:rsidRPr="00234E2D">
        <w:rPr>
          <w:rFonts w:ascii="Cambria" w:hAnsi="Cambria"/>
          <w:b/>
          <w:bCs/>
        </w:rPr>
        <w:t>V. Final Test and Explicit Refusal</w:t>
      </w:r>
    </w:p>
    <w:p w14:paraId="56530273" w14:textId="013CCC0B" w:rsidR="002949D0" w:rsidRPr="00234E2D" w:rsidRDefault="002949D0" w:rsidP="002949D0">
      <w:pPr>
        <w:spacing w:after="0" w:line="240" w:lineRule="auto"/>
        <w:rPr>
          <w:rFonts w:ascii="Cambria" w:hAnsi="Cambria"/>
        </w:rPr>
      </w:pPr>
      <w:r w:rsidRPr="00234E2D">
        <w:rPr>
          <w:rFonts w:ascii="Cambria" w:hAnsi="Cambria"/>
        </w:rPr>
        <w:t>On September 14, 1787, the Convention confronted a final effort to expand congressional authority.</w:t>
      </w:r>
    </w:p>
    <w:p w14:paraId="3AF20C69" w14:textId="77777777" w:rsidR="00EE3B3E" w:rsidRPr="00234E2D" w:rsidRDefault="00EE3B3E" w:rsidP="00C1023F">
      <w:pPr>
        <w:spacing w:after="0" w:line="240" w:lineRule="auto"/>
        <w:rPr>
          <w:rFonts w:ascii="Cambria" w:hAnsi="Cambria"/>
        </w:rPr>
      </w:pPr>
    </w:p>
    <w:p w14:paraId="0952D224" w14:textId="263B5670" w:rsidR="00C1023F" w:rsidRPr="00234E2D" w:rsidRDefault="00C1023F" w:rsidP="00C1023F">
      <w:pPr>
        <w:spacing w:after="0" w:line="240" w:lineRule="auto"/>
        <w:rPr>
          <w:rFonts w:ascii="Cambria" w:hAnsi="Cambria"/>
        </w:rPr>
      </w:pPr>
      <w:r w:rsidRPr="00234E2D">
        <w:rPr>
          <w:rFonts w:ascii="Cambria" w:hAnsi="Cambria"/>
        </w:rPr>
        <w:t xml:space="preserve">Benjamin Franklin moved to add, following the Post Roads Clause, “a power to provide for cutting canals </w:t>
      </w:r>
      <w:proofErr w:type="gramStart"/>
      <w:r w:rsidRPr="00234E2D">
        <w:rPr>
          <w:rFonts w:ascii="Cambria" w:hAnsi="Cambria"/>
        </w:rPr>
        <w:t>where</w:t>
      </w:r>
      <w:proofErr w:type="gramEnd"/>
      <w:r w:rsidRPr="00234E2D">
        <w:rPr>
          <w:rFonts w:ascii="Cambria" w:hAnsi="Cambria"/>
        </w:rPr>
        <w:t xml:space="preserve"> deemed necessary.”</w:t>
      </w:r>
      <w:r w:rsidR="00A60B90" w:rsidRPr="00234E2D">
        <w:rPr>
          <w:rStyle w:val="FootnoteReference"/>
          <w:rFonts w:ascii="Cambria" w:hAnsi="Cambria"/>
        </w:rPr>
        <w:footnoteReference w:id="13"/>
      </w:r>
      <w:r w:rsidRPr="00234E2D">
        <w:rPr>
          <w:rFonts w:ascii="Cambria" w:hAnsi="Cambria"/>
        </w:rPr>
        <w:t xml:space="preserve"> James Wilson seconded the motion. </w:t>
      </w:r>
      <w:r w:rsidR="00A60B90" w:rsidRPr="00234E2D">
        <w:rPr>
          <w:rFonts w:ascii="Cambria" w:hAnsi="Cambria"/>
        </w:rPr>
        <w:t>Roger Sherman objected: “The expense in such cases will fall on the United States, and the benefit accrue to the places where the canals may be cut.”</w:t>
      </w:r>
      <w:r w:rsidR="00A60B90" w:rsidRPr="00234E2D">
        <w:rPr>
          <w:rStyle w:val="FootnoteReference"/>
          <w:rFonts w:ascii="Cambria" w:hAnsi="Cambria"/>
        </w:rPr>
        <w:footnoteReference w:id="14"/>
      </w:r>
      <w:r w:rsidR="00A60B90" w:rsidRPr="00234E2D">
        <w:rPr>
          <w:rFonts w:ascii="Cambria" w:hAnsi="Cambria"/>
        </w:rPr>
        <w:t xml:space="preserve"> </w:t>
      </w:r>
      <w:r w:rsidR="007D70D9" w:rsidRPr="00234E2D">
        <w:rPr>
          <w:rFonts w:ascii="Cambria" w:hAnsi="Cambria"/>
        </w:rPr>
        <w:t xml:space="preserve">Sherman articulated a </w:t>
      </w:r>
      <w:r w:rsidR="003F74A7" w:rsidRPr="00234E2D">
        <w:rPr>
          <w:rFonts w:ascii="Cambria" w:hAnsi="Cambria"/>
        </w:rPr>
        <w:t>concern</w:t>
      </w:r>
      <w:r w:rsidR="007D70D9" w:rsidRPr="00234E2D">
        <w:rPr>
          <w:rFonts w:ascii="Cambria" w:hAnsi="Cambria"/>
        </w:rPr>
        <w:t xml:space="preserve"> that would later recur in executive vetoes: a power to tax the many to benefit a geographically concentrated few would distort fiscal incentives and undermine the integrity of public finance.</w:t>
      </w:r>
      <w:r w:rsidR="005E5BA3" w:rsidRPr="00234E2D">
        <w:rPr>
          <w:rStyle w:val="FootnoteReference"/>
          <w:rFonts w:ascii="Cambria" w:hAnsi="Cambria"/>
        </w:rPr>
        <w:footnoteReference w:id="15"/>
      </w:r>
      <w:r w:rsidR="007D70D9" w:rsidRPr="00234E2D">
        <w:rPr>
          <w:rFonts w:ascii="Cambria" w:hAnsi="Cambria"/>
        </w:rPr>
        <w:t xml:space="preserve"> </w:t>
      </w:r>
      <w:r w:rsidRPr="00234E2D">
        <w:rPr>
          <w:rFonts w:ascii="Cambria" w:hAnsi="Cambria"/>
        </w:rPr>
        <w:t>James Madison then proposed enlarging Franklin’s motion to include a power “to grant charters of incorporation where the interest of the United States might require, and the legislative provisions of individual States may be incompetent.” Edmund Randolph seconded Madison’</w:t>
      </w:r>
      <w:r w:rsidR="00251050" w:rsidRPr="00234E2D">
        <w:rPr>
          <w:rFonts w:ascii="Cambria" w:hAnsi="Cambria"/>
        </w:rPr>
        <w:t>s</w:t>
      </w:r>
      <w:r w:rsidRPr="00234E2D">
        <w:rPr>
          <w:rFonts w:ascii="Cambria" w:hAnsi="Cambria"/>
        </w:rPr>
        <w:t xml:space="preserve"> expansion.</w:t>
      </w:r>
      <w:r w:rsidR="00A83692" w:rsidRPr="00234E2D">
        <w:rPr>
          <w:rStyle w:val="FootnoteReference"/>
          <w:rFonts w:ascii="Cambria" w:hAnsi="Cambria"/>
        </w:rPr>
        <w:footnoteReference w:id="16"/>
      </w:r>
    </w:p>
    <w:p w14:paraId="2340AF36" w14:textId="77777777" w:rsidR="00EE3B3E" w:rsidRPr="00234E2D" w:rsidRDefault="00EE3B3E" w:rsidP="00C1023F">
      <w:pPr>
        <w:spacing w:after="0" w:line="240" w:lineRule="auto"/>
        <w:rPr>
          <w:rFonts w:ascii="Cambria" w:hAnsi="Cambria"/>
        </w:rPr>
      </w:pPr>
    </w:p>
    <w:p w14:paraId="183CE390" w14:textId="2A461DE8" w:rsidR="002949D0" w:rsidRPr="00234E2D" w:rsidRDefault="002949D0" w:rsidP="002949D0">
      <w:pPr>
        <w:spacing w:after="0" w:line="240" w:lineRule="auto"/>
        <w:rPr>
          <w:rFonts w:ascii="Cambria" w:hAnsi="Cambria"/>
        </w:rPr>
      </w:pPr>
      <w:r w:rsidRPr="00234E2D">
        <w:rPr>
          <w:rFonts w:ascii="Cambria" w:hAnsi="Cambria"/>
        </w:rPr>
        <w:t>This debate is especially probative</w:t>
      </w:r>
      <w:r w:rsidR="00847C69">
        <w:rPr>
          <w:rFonts w:ascii="Cambria" w:hAnsi="Cambria"/>
        </w:rPr>
        <w:t>,</w:t>
      </w:r>
      <w:r w:rsidRPr="00234E2D">
        <w:rPr>
          <w:rFonts w:ascii="Cambria" w:hAnsi="Cambria"/>
        </w:rPr>
        <w:t xml:space="preserve"> because it involved delegates uniquely positioned to understand the scope and limits of </w:t>
      </w:r>
      <w:r w:rsidR="005848F1" w:rsidRPr="00234E2D">
        <w:rPr>
          <w:rFonts w:ascii="Cambria" w:hAnsi="Cambria"/>
        </w:rPr>
        <w:t>enumeration</w:t>
      </w:r>
      <w:r w:rsidRPr="00234E2D">
        <w:rPr>
          <w:rFonts w:ascii="Cambria" w:hAnsi="Cambria"/>
        </w:rPr>
        <w:t xml:space="preserve">. Wilson and Randolph had served on the Committee of Detail, which had </w:t>
      </w:r>
      <w:r w:rsidRPr="00234E2D">
        <w:rPr>
          <w:rFonts w:ascii="Cambria" w:hAnsi="Cambria"/>
        </w:rPr>
        <w:lastRenderedPageBreak/>
        <w:t>received</w:t>
      </w:r>
      <w:r w:rsidR="0018241E" w:rsidRPr="00234E2D">
        <w:rPr>
          <w:rFonts w:ascii="Cambria" w:hAnsi="Cambria"/>
        </w:rPr>
        <w:t xml:space="preserve"> </w:t>
      </w:r>
      <w:r w:rsidRPr="00234E2D">
        <w:rPr>
          <w:rFonts w:ascii="Cambria" w:hAnsi="Cambria"/>
        </w:rPr>
        <w:t>yet declined to include</w:t>
      </w:r>
      <w:r w:rsidR="0018241E" w:rsidRPr="00234E2D">
        <w:rPr>
          <w:rFonts w:ascii="Cambria" w:hAnsi="Cambria"/>
        </w:rPr>
        <w:t xml:space="preserve">, </w:t>
      </w:r>
      <w:r w:rsidRPr="00234E2D">
        <w:rPr>
          <w:rFonts w:ascii="Cambria" w:hAnsi="Cambria"/>
        </w:rPr>
        <w:t xml:space="preserve">proposals to authorize corporate chartering. Madison and Rufus </w:t>
      </w:r>
      <w:proofErr w:type="gramStart"/>
      <w:r w:rsidRPr="00234E2D">
        <w:rPr>
          <w:rFonts w:ascii="Cambria" w:hAnsi="Cambria"/>
        </w:rPr>
        <w:t>King  served</w:t>
      </w:r>
      <w:proofErr w:type="gramEnd"/>
      <w:r w:rsidRPr="00234E2D">
        <w:rPr>
          <w:rFonts w:ascii="Cambria" w:hAnsi="Cambria"/>
        </w:rPr>
        <w:t xml:space="preserve"> on the Committee of Style</w:t>
      </w:r>
      <w:r w:rsidR="005848F1" w:rsidRPr="00234E2D">
        <w:rPr>
          <w:rFonts w:ascii="Cambria" w:hAnsi="Cambria"/>
        </w:rPr>
        <w:t>.</w:t>
      </w:r>
      <w:r w:rsidR="00C93FF4" w:rsidRPr="00234E2D">
        <w:rPr>
          <w:rStyle w:val="FootnoteReference"/>
          <w:rFonts w:ascii="Cambria" w:hAnsi="Cambria"/>
        </w:rPr>
        <w:footnoteReference w:id="17"/>
      </w:r>
      <w:r w:rsidRPr="00234E2D">
        <w:rPr>
          <w:rFonts w:ascii="Cambria" w:hAnsi="Cambria"/>
        </w:rPr>
        <w:t xml:space="preserve"> These delegates were therefore among those most familiar with the powers that had been proposed, included, </w:t>
      </w:r>
      <w:r w:rsidR="0018241E" w:rsidRPr="00234E2D">
        <w:rPr>
          <w:rFonts w:ascii="Cambria" w:hAnsi="Cambria"/>
        </w:rPr>
        <w:t xml:space="preserve">and </w:t>
      </w:r>
      <w:r w:rsidRPr="00234E2D">
        <w:rPr>
          <w:rFonts w:ascii="Cambria" w:hAnsi="Cambria"/>
        </w:rPr>
        <w:t xml:space="preserve">deliberately withheld. </w:t>
      </w:r>
    </w:p>
    <w:p w14:paraId="6A8BECD0" w14:textId="77777777" w:rsidR="002949D0" w:rsidRPr="00234E2D" w:rsidRDefault="002949D0" w:rsidP="002949D0">
      <w:pPr>
        <w:spacing w:after="0" w:line="240" w:lineRule="auto"/>
        <w:rPr>
          <w:rFonts w:ascii="Cambria" w:hAnsi="Cambria"/>
        </w:rPr>
      </w:pPr>
    </w:p>
    <w:p w14:paraId="72D759CC" w14:textId="4A4B96FD" w:rsidR="00D73098" w:rsidRPr="00234E2D" w:rsidRDefault="002949D0" w:rsidP="002949D0">
      <w:pPr>
        <w:spacing w:after="0" w:line="240" w:lineRule="auto"/>
        <w:rPr>
          <w:rFonts w:ascii="Cambria" w:hAnsi="Cambria"/>
        </w:rPr>
      </w:pPr>
      <w:r w:rsidRPr="00234E2D">
        <w:rPr>
          <w:rFonts w:ascii="Cambria" w:hAnsi="Cambria"/>
        </w:rPr>
        <w:t xml:space="preserve">Rufus King warned </w:t>
      </w:r>
      <w:r w:rsidR="002053FC" w:rsidRPr="00234E2D">
        <w:rPr>
          <w:rFonts w:ascii="Cambria" w:hAnsi="Cambria"/>
        </w:rPr>
        <w:t>incorporation</w:t>
      </w:r>
      <w:r w:rsidR="000F13CD" w:rsidRPr="00234E2D">
        <w:rPr>
          <w:rFonts w:ascii="Cambria" w:hAnsi="Cambria"/>
        </w:rPr>
        <w:t xml:space="preserve"> </w:t>
      </w:r>
      <w:r w:rsidR="001E6C01" w:rsidRPr="00234E2D">
        <w:rPr>
          <w:rFonts w:ascii="Cambria" w:hAnsi="Cambria"/>
        </w:rPr>
        <w:t xml:space="preserve">authority </w:t>
      </w:r>
      <w:r w:rsidR="000F13CD" w:rsidRPr="00234E2D">
        <w:rPr>
          <w:rFonts w:ascii="Cambria" w:hAnsi="Cambria"/>
        </w:rPr>
        <w:t xml:space="preserve">could be used to establish a bank or </w:t>
      </w:r>
      <w:r w:rsidR="00D354E8" w:rsidRPr="00234E2D">
        <w:rPr>
          <w:rFonts w:ascii="Cambria" w:hAnsi="Cambria"/>
        </w:rPr>
        <w:t>mercantile monopolies.</w:t>
      </w:r>
      <w:r w:rsidR="00C93FF4" w:rsidRPr="00234E2D">
        <w:rPr>
          <w:rStyle w:val="FootnoteReference"/>
          <w:rFonts w:ascii="Cambria" w:hAnsi="Cambria"/>
        </w:rPr>
        <w:footnoteReference w:id="18"/>
      </w:r>
      <w:r w:rsidRPr="00234E2D">
        <w:rPr>
          <w:rFonts w:ascii="Cambria" w:hAnsi="Cambria"/>
        </w:rPr>
        <w:t xml:space="preserve"> </w:t>
      </w:r>
      <w:r w:rsidR="002053FC" w:rsidRPr="00234E2D">
        <w:rPr>
          <w:rFonts w:ascii="Cambria" w:hAnsi="Cambria"/>
        </w:rPr>
        <w:t xml:space="preserve">Wilson, defending the motions, cited the importance of canals to communications with Western Settlements; dismissed King’s concerns over bank establishment; and argued protection </w:t>
      </w:r>
      <w:r w:rsidR="00D73098" w:rsidRPr="00234E2D">
        <w:rPr>
          <w:rFonts w:ascii="Cambria" w:hAnsi="Cambria"/>
        </w:rPr>
        <w:t>against mercantile monopolies “was already included in the power to regulate trade.”</w:t>
      </w:r>
      <w:r w:rsidR="00D73098" w:rsidRPr="00234E2D">
        <w:rPr>
          <w:rStyle w:val="FootnoteReference"/>
          <w:rFonts w:ascii="Cambria" w:hAnsi="Cambria"/>
        </w:rPr>
        <w:footnoteReference w:id="19"/>
      </w:r>
      <w:r w:rsidR="00D73098" w:rsidRPr="00234E2D">
        <w:rPr>
          <w:rFonts w:ascii="Cambria" w:hAnsi="Cambria"/>
        </w:rPr>
        <w:t xml:space="preserve"> </w:t>
      </w:r>
    </w:p>
    <w:p w14:paraId="0176AD66" w14:textId="77777777" w:rsidR="00D73098" w:rsidRPr="00234E2D" w:rsidRDefault="00D73098" w:rsidP="002949D0">
      <w:pPr>
        <w:spacing w:after="0" w:line="240" w:lineRule="auto"/>
        <w:rPr>
          <w:rFonts w:ascii="Cambria" w:hAnsi="Cambria"/>
        </w:rPr>
      </w:pPr>
    </w:p>
    <w:p w14:paraId="72F2C18F" w14:textId="45850E80" w:rsidR="002949D0" w:rsidRPr="00234E2D" w:rsidRDefault="00D354E8" w:rsidP="002949D0">
      <w:pPr>
        <w:spacing w:after="0" w:line="240" w:lineRule="auto"/>
        <w:rPr>
          <w:rFonts w:ascii="Cambria" w:hAnsi="Cambria"/>
        </w:rPr>
      </w:pPr>
      <w:r w:rsidRPr="00234E2D">
        <w:rPr>
          <w:rFonts w:ascii="Cambria" w:hAnsi="Cambria"/>
        </w:rPr>
        <w:t>“</w:t>
      </w:r>
      <w:r w:rsidR="00D73098" w:rsidRPr="00234E2D">
        <w:rPr>
          <w:rFonts w:ascii="Cambria" w:hAnsi="Cambria"/>
        </w:rPr>
        <w:t xml:space="preserve">Afraid of </w:t>
      </w:r>
      <w:r w:rsidRPr="00234E2D">
        <w:rPr>
          <w:rFonts w:ascii="Cambria" w:hAnsi="Cambria"/>
        </w:rPr>
        <w:t xml:space="preserve">monopolies of any sort,” </w:t>
      </w:r>
      <w:r w:rsidR="00D73098" w:rsidRPr="00234E2D">
        <w:rPr>
          <w:rFonts w:ascii="Cambria" w:hAnsi="Cambria"/>
        </w:rPr>
        <w:t>[</w:t>
      </w:r>
      <w:r w:rsidRPr="00234E2D">
        <w:rPr>
          <w:rFonts w:ascii="Cambria" w:hAnsi="Cambria"/>
        </w:rPr>
        <w:t>the regulation of which</w:t>
      </w:r>
      <w:r w:rsidR="00D73098" w:rsidRPr="00234E2D">
        <w:rPr>
          <w:rFonts w:ascii="Cambria" w:hAnsi="Cambria"/>
        </w:rPr>
        <w:t xml:space="preserve">] “he did not think were by any means </w:t>
      </w:r>
      <w:r w:rsidRPr="00234E2D">
        <w:rPr>
          <w:rFonts w:ascii="Cambria" w:hAnsi="Cambria"/>
        </w:rPr>
        <w:t xml:space="preserve">already implied </w:t>
      </w:r>
      <w:r w:rsidR="00D73098" w:rsidRPr="00234E2D">
        <w:rPr>
          <w:rFonts w:ascii="Cambria" w:hAnsi="Cambria"/>
        </w:rPr>
        <w:t>by</w:t>
      </w:r>
      <w:r w:rsidRPr="00234E2D">
        <w:rPr>
          <w:rFonts w:ascii="Cambria" w:hAnsi="Cambria"/>
        </w:rPr>
        <w:t xml:space="preserve"> the Constitution,</w:t>
      </w:r>
      <w:r w:rsidR="00D73098" w:rsidRPr="00234E2D">
        <w:rPr>
          <w:rFonts w:ascii="Cambria" w:hAnsi="Cambria"/>
        </w:rPr>
        <w:t>” George Mason “was for limiting the power to the single case of canals.”</w:t>
      </w:r>
      <w:r w:rsidR="00D73098" w:rsidRPr="00234E2D">
        <w:rPr>
          <w:rStyle w:val="FootnoteReference"/>
          <w:rFonts w:ascii="Cambria" w:hAnsi="Cambria"/>
        </w:rPr>
        <w:footnoteReference w:id="20"/>
      </w:r>
    </w:p>
    <w:p w14:paraId="381331FA" w14:textId="77777777" w:rsidR="002949D0" w:rsidRPr="00234E2D" w:rsidRDefault="002949D0" w:rsidP="00C1023F">
      <w:pPr>
        <w:spacing w:after="0" w:line="240" w:lineRule="auto"/>
        <w:rPr>
          <w:rFonts w:ascii="Cambria" w:hAnsi="Cambria"/>
        </w:rPr>
      </w:pPr>
    </w:p>
    <w:p w14:paraId="495463FA" w14:textId="29D1D60C" w:rsidR="00C1023F" w:rsidRPr="00234E2D" w:rsidRDefault="00C1023F" w:rsidP="00C1023F">
      <w:pPr>
        <w:spacing w:after="0" w:line="240" w:lineRule="auto"/>
        <w:rPr>
          <w:rFonts w:ascii="Cambria" w:hAnsi="Cambria"/>
        </w:rPr>
      </w:pPr>
      <w:r w:rsidRPr="00234E2D">
        <w:rPr>
          <w:rFonts w:ascii="Cambria" w:hAnsi="Cambria"/>
        </w:rPr>
        <w:t>Franklin’s proposal</w:t>
      </w:r>
      <w:r w:rsidR="00EE3B3E" w:rsidRPr="00234E2D">
        <w:rPr>
          <w:rFonts w:ascii="Cambria" w:hAnsi="Cambria"/>
        </w:rPr>
        <w:t xml:space="preserve">, </w:t>
      </w:r>
      <w:r w:rsidRPr="00234E2D">
        <w:rPr>
          <w:rFonts w:ascii="Cambria" w:hAnsi="Cambria"/>
        </w:rPr>
        <w:t>thus understood as encompassing nati</w:t>
      </w:r>
      <w:r w:rsidR="00AB1EF4" w:rsidRPr="00234E2D">
        <w:rPr>
          <w:rFonts w:ascii="Cambria" w:hAnsi="Cambria"/>
        </w:rPr>
        <w:t>onal canal</w:t>
      </w:r>
      <w:r w:rsidRPr="00234E2D">
        <w:rPr>
          <w:rFonts w:ascii="Cambria" w:hAnsi="Cambria"/>
        </w:rPr>
        <w:t xml:space="preserve"> funding</w:t>
      </w:r>
      <w:r w:rsidR="00EE3B3E" w:rsidRPr="00234E2D">
        <w:rPr>
          <w:rFonts w:ascii="Cambria" w:hAnsi="Cambria"/>
        </w:rPr>
        <w:t xml:space="preserve">, </w:t>
      </w:r>
      <w:r w:rsidRPr="00234E2D">
        <w:rPr>
          <w:rFonts w:ascii="Cambria" w:hAnsi="Cambria"/>
        </w:rPr>
        <w:t>was rejected decisively by a vote of eight state delegations to three.</w:t>
      </w:r>
      <w:r w:rsidR="00E26CA1" w:rsidRPr="00234E2D">
        <w:rPr>
          <w:rStyle w:val="FootnoteReference"/>
          <w:rFonts w:ascii="Cambria" w:hAnsi="Cambria"/>
        </w:rPr>
        <w:footnoteReference w:id="21"/>
      </w:r>
    </w:p>
    <w:p w14:paraId="08E1C334" w14:textId="77777777" w:rsidR="00EE3B3E" w:rsidRPr="00234E2D" w:rsidRDefault="00EE3B3E" w:rsidP="00C1023F">
      <w:pPr>
        <w:spacing w:after="0" w:line="240" w:lineRule="auto"/>
        <w:rPr>
          <w:rFonts w:ascii="Cambria" w:hAnsi="Cambria"/>
        </w:rPr>
      </w:pPr>
    </w:p>
    <w:p w14:paraId="458C50CD" w14:textId="038E65BD" w:rsidR="00C1023F" w:rsidRPr="00234E2D" w:rsidRDefault="00C1023F" w:rsidP="00C1023F">
      <w:pPr>
        <w:spacing w:after="0" w:line="240" w:lineRule="auto"/>
        <w:rPr>
          <w:rFonts w:ascii="Cambria" w:hAnsi="Cambria"/>
        </w:rPr>
      </w:pPr>
      <w:r w:rsidRPr="00234E2D">
        <w:rPr>
          <w:rFonts w:ascii="Cambria" w:hAnsi="Cambria"/>
        </w:rPr>
        <w:t>Madison’s Notes record the consequence unambiguously:</w:t>
      </w:r>
    </w:p>
    <w:p w14:paraId="1FA7C6C1" w14:textId="77777777" w:rsidR="00EE3B3E" w:rsidRPr="00234E2D" w:rsidRDefault="00EE3B3E" w:rsidP="00C1023F">
      <w:pPr>
        <w:spacing w:after="0" w:line="240" w:lineRule="auto"/>
        <w:rPr>
          <w:rFonts w:ascii="Cambria" w:hAnsi="Cambria"/>
        </w:rPr>
      </w:pPr>
    </w:p>
    <w:p w14:paraId="3304A04A" w14:textId="159137CD" w:rsidR="00C1023F" w:rsidRPr="00234E2D" w:rsidRDefault="00C1023F" w:rsidP="00EE3B3E">
      <w:pPr>
        <w:spacing w:after="0" w:line="240" w:lineRule="auto"/>
        <w:jc w:val="center"/>
        <w:rPr>
          <w:rFonts w:ascii="Cambria" w:hAnsi="Cambria"/>
        </w:rPr>
      </w:pPr>
      <w:r w:rsidRPr="00234E2D">
        <w:rPr>
          <w:rFonts w:ascii="Cambria" w:hAnsi="Cambria"/>
        </w:rPr>
        <w:t>“The other part fell of course, as including the power rejected.”</w:t>
      </w:r>
      <w:r w:rsidR="00E26CA1" w:rsidRPr="00234E2D">
        <w:rPr>
          <w:rStyle w:val="FootnoteReference"/>
          <w:rFonts w:ascii="Cambria" w:hAnsi="Cambria"/>
        </w:rPr>
        <w:footnoteReference w:id="22"/>
      </w:r>
    </w:p>
    <w:p w14:paraId="1A5159AF" w14:textId="77777777" w:rsidR="00EE3B3E" w:rsidRPr="00234E2D" w:rsidRDefault="00EE3B3E" w:rsidP="00C1023F">
      <w:pPr>
        <w:spacing w:after="0" w:line="240" w:lineRule="auto"/>
        <w:rPr>
          <w:rFonts w:ascii="Cambria" w:hAnsi="Cambria"/>
        </w:rPr>
      </w:pPr>
    </w:p>
    <w:p w14:paraId="7B34C920" w14:textId="72717A3D" w:rsidR="0068519C" w:rsidRPr="00234E2D" w:rsidRDefault="0078680D" w:rsidP="00C1023F">
      <w:pPr>
        <w:spacing w:after="0" w:line="240" w:lineRule="auto"/>
        <w:rPr>
          <w:rFonts w:ascii="Cambria" w:hAnsi="Cambria"/>
        </w:rPr>
      </w:pPr>
      <w:r w:rsidRPr="00234E2D">
        <w:rPr>
          <w:rFonts w:ascii="Cambria" w:hAnsi="Cambria"/>
        </w:rPr>
        <w:t>No delegate moved to separate incorporation from canal funding, confirming that the Convention understood federal chartering authority—particularly for banks—as inseparable from the rejected power. With that vote, the scope of Congress’s enumerated powers was closed, and no motion to reconsider or reframe the rejected authority was entertained.</w:t>
      </w:r>
      <w:r w:rsidR="0098196F" w:rsidRPr="00234E2D">
        <w:rPr>
          <w:rStyle w:val="FootnoteReference"/>
          <w:rFonts w:ascii="Cambria" w:hAnsi="Cambria"/>
        </w:rPr>
        <w:footnoteReference w:id="23"/>
      </w:r>
    </w:p>
    <w:p w14:paraId="271E2C3B" w14:textId="77777777" w:rsidR="0078680D" w:rsidRPr="00234E2D" w:rsidRDefault="0078680D" w:rsidP="00C1023F">
      <w:pPr>
        <w:spacing w:after="0" w:line="240" w:lineRule="auto"/>
        <w:rPr>
          <w:rFonts w:ascii="Cambria" w:hAnsi="Cambria"/>
        </w:rPr>
      </w:pPr>
    </w:p>
    <w:p w14:paraId="22F671B1" w14:textId="21562D12" w:rsidR="00C1023F" w:rsidRPr="00234E2D" w:rsidRDefault="00C1023F" w:rsidP="00C1023F">
      <w:pPr>
        <w:spacing w:after="0" w:line="240" w:lineRule="auto"/>
        <w:rPr>
          <w:rFonts w:ascii="Cambria" w:hAnsi="Cambria"/>
          <w:b/>
          <w:bCs/>
        </w:rPr>
      </w:pPr>
      <w:r w:rsidRPr="00234E2D">
        <w:rPr>
          <w:rFonts w:ascii="Cambria" w:hAnsi="Cambria"/>
          <w:b/>
          <w:bCs/>
        </w:rPr>
        <w:t xml:space="preserve">VI. </w:t>
      </w:r>
      <w:r w:rsidR="004E1302" w:rsidRPr="00234E2D">
        <w:rPr>
          <w:rFonts w:ascii="Cambria" w:hAnsi="Cambria"/>
          <w:b/>
          <w:bCs/>
        </w:rPr>
        <w:t xml:space="preserve">The </w:t>
      </w:r>
      <w:r w:rsidRPr="00234E2D">
        <w:rPr>
          <w:rFonts w:ascii="Cambria" w:hAnsi="Cambria"/>
          <w:b/>
          <w:bCs/>
        </w:rPr>
        <w:t>Bank Bill of 1791</w:t>
      </w:r>
      <w:r w:rsidR="00BE2590" w:rsidRPr="00234E2D">
        <w:rPr>
          <w:rFonts w:ascii="Cambria" w:hAnsi="Cambria"/>
          <w:b/>
          <w:bCs/>
        </w:rPr>
        <w:t xml:space="preserve"> and</w:t>
      </w:r>
      <w:r w:rsidRPr="00234E2D">
        <w:rPr>
          <w:rFonts w:ascii="Cambria" w:hAnsi="Cambria"/>
          <w:b/>
          <w:bCs/>
        </w:rPr>
        <w:t xml:space="preserve"> </w:t>
      </w:r>
      <w:r w:rsidR="00E80487" w:rsidRPr="00234E2D">
        <w:rPr>
          <w:rFonts w:ascii="Cambria" w:hAnsi="Cambria"/>
          <w:b/>
          <w:bCs/>
        </w:rPr>
        <w:t>the Birth of Implied Power as Method</w:t>
      </w:r>
    </w:p>
    <w:p w14:paraId="47EB7F91" w14:textId="416997BD" w:rsidR="00A25CE6" w:rsidRPr="00234E2D" w:rsidRDefault="00A25CE6" w:rsidP="00A25CE6">
      <w:pPr>
        <w:spacing w:after="0" w:line="240" w:lineRule="auto"/>
        <w:rPr>
          <w:rFonts w:ascii="Cambria" w:hAnsi="Cambria"/>
        </w:rPr>
      </w:pPr>
      <w:r w:rsidRPr="00234E2D">
        <w:rPr>
          <w:rFonts w:ascii="Cambria" w:hAnsi="Cambria"/>
        </w:rPr>
        <w:t xml:space="preserve">The controversy surrounding the Bank Bill of 1791 </w:t>
      </w:r>
      <w:r w:rsidR="00AB1EF4" w:rsidRPr="00234E2D">
        <w:rPr>
          <w:rFonts w:ascii="Cambria" w:hAnsi="Cambria"/>
        </w:rPr>
        <w:t xml:space="preserve">was over </w:t>
      </w:r>
      <w:proofErr w:type="gramStart"/>
      <w:r w:rsidR="00AB1EF4" w:rsidRPr="00234E2D">
        <w:rPr>
          <w:rFonts w:ascii="Cambria" w:hAnsi="Cambria"/>
        </w:rPr>
        <w:t>whether or not</w:t>
      </w:r>
      <w:proofErr w:type="gramEnd"/>
      <w:r w:rsidR="00AB1EF4" w:rsidRPr="00234E2D">
        <w:rPr>
          <w:rFonts w:ascii="Cambria" w:hAnsi="Cambria"/>
        </w:rPr>
        <w:t xml:space="preserve"> Congress </w:t>
      </w:r>
      <w:r w:rsidRPr="00234E2D">
        <w:rPr>
          <w:rFonts w:ascii="Cambria" w:hAnsi="Cambria"/>
        </w:rPr>
        <w:t xml:space="preserve">possessed authority to charter </w:t>
      </w:r>
      <w:r w:rsidR="006E4657" w:rsidRPr="00234E2D">
        <w:rPr>
          <w:rFonts w:ascii="Cambria" w:hAnsi="Cambria"/>
        </w:rPr>
        <w:t>a national bank</w:t>
      </w:r>
      <w:r w:rsidRPr="00234E2D">
        <w:rPr>
          <w:rFonts w:ascii="Cambria" w:hAnsi="Cambria"/>
        </w:rPr>
        <w:t xml:space="preserve"> absent express enumeration.</w:t>
      </w:r>
      <w:r w:rsidR="00773F7F" w:rsidRPr="00234E2D">
        <w:rPr>
          <w:rFonts w:ascii="Cambria" w:hAnsi="Cambria"/>
        </w:rPr>
        <w:t xml:space="preserve"> </w:t>
      </w:r>
      <w:r w:rsidR="00773F7F" w:rsidRPr="00234E2D">
        <w:rPr>
          <w:rFonts w:ascii="Cambria" w:hAnsi="Cambria"/>
        </w:rPr>
        <w:t xml:space="preserve">Drafted by Secretary of the Treasury Alexander Hamilton and introduced in Congress in early January 1791, the bill quickly became the focal point for a broader constitutional dispute over </w:t>
      </w:r>
      <w:proofErr w:type="gramStart"/>
      <w:r w:rsidR="00773F7F" w:rsidRPr="00234E2D">
        <w:rPr>
          <w:rFonts w:ascii="Cambria" w:hAnsi="Cambria"/>
        </w:rPr>
        <w:t>whether powers</w:t>
      </w:r>
      <w:proofErr w:type="gramEnd"/>
      <w:r w:rsidR="00773F7F" w:rsidRPr="00234E2D">
        <w:rPr>
          <w:rFonts w:ascii="Cambria" w:hAnsi="Cambria"/>
        </w:rPr>
        <w:t xml:space="preserve"> proposed and rejected at the Constitutional Convention could later be supplied by implication.</w:t>
      </w:r>
    </w:p>
    <w:p w14:paraId="38C53FBF" w14:textId="77777777" w:rsidR="00A25CE6" w:rsidRPr="00234E2D" w:rsidRDefault="00A25CE6" w:rsidP="00A25CE6">
      <w:pPr>
        <w:spacing w:after="0" w:line="240" w:lineRule="auto"/>
        <w:rPr>
          <w:rFonts w:ascii="Cambria" w:hAnsi="Cambria"/>
        </w:rPr>
      </w:pPr>
    </w:p>
    <w:p w14:paraId="3089BBA3" w14:textId="14A265C9" w:rsidR="00A25CE6" w:rsidRPr="00234E2D" w:rsidRDefault="00786406" w:rsidP="00A25CE6">
      <w:pPr>
        <w:spacing w:after="0" w:line="240" w:lineRule="auto"/>
        <w:rPr>
          <w:rFonts w:ascii="Cambria" w:hAnsi="Cambria"/>
        </w:rPr>
      </w:pPr>
      <w:r w:rsidRPr="00234E2D">
        <w:rPr>
          <w:rFonts w:ascii="Cambria" w:hAnsi="Cambria"/>
        </w:rPr>
        <w:t xml:space="preserve">Madison led opposition to the bill in the House of Representatives, arguing that incorporation authority had been proposed and rejected at the Constitutional Convention and therefore could not be reconciled </w:t>
      </w:r>
      <w:r w:rsidRPr="00234E2D">
        <w:rPr>
          <w:rFonts w:ascii="Cambria" w:hAnsi="Cambria"/>
        </w:rPr>
        <w:lastRenderedPageBreak/>
        <w:t xml:space="preserve">with a </w:t>
      </w:r>
      <w:proofErr w:type="gramStart"/>
      <w:r w:rsidRPr="00234E2D">
        <w:rPr>
          <w:rFonts w:ascii="Cambria" w:hAnsi="Cambria"/>
        </w:rPr>
        <w:t>Constitution</w:t>
      </w:r>
      <w:proofErr w:type="gramEnd"/>
      <w:r w:rsidRPr="00234E2D">
        <w:rPr>
          <w:rFonts w:ascii="Cambria" w:hAnsi="Cambria"/>
        </w:rPr>
        <w:t xml:space="preserve"> of enumerated powers</w:t>
      </w:r>
      <w:r w:rsidR="00A25CE6" w:rsidRPr="00234E2D">
        <w:rPr>
          <w:rFonts w:ascii="Cambria" w:hAnsi="Cambria"/>
        </w:rPr>
        <w:t>.</w:t>
      </w:r>
      <w:r w:rsidRPr="00234E2D">
        <w:rPr>
          <w:rFonts w:ascii="Cambria" w:hAnsi="Cambria"/>
        </w:rPr>
        <w:t xml:space="preserve"> </w:t>
      </w:r>
      <w:r w:rsidR="00A25CE6" w:rsidRPr="00234E2D">
        <w:rPr>
          <w:rFonts w:ascii="Cambria" w:hAnsi="Cambria"/>
        </w:rPr>
        <w:t xml:space="preserve">When the bill </w:t>
      </w:r>
      <w:r w:rsidRPr="00234E2D">
        <w:rPr>
          <w:rFonts w:ascii="Cambria" w:hAnsi="Cambria"/>
        </w:rPr>
        <w:t xml:space="preserve">nevertheless </w:t>
      </w:r>
      <w:r w:rsidR="00A25CE6" w:rsidRPr="00234E2D">
        <w:rPr>
          <w:rFonts w:ascii="Cambria" w:hAnsi="Cambria"/>
        </w:rPr>
        <w:t>passed both houses, President Washington, harboring doubts</w:t>
      </w:r>
      <w:r w:rsidRPr="00234E2D">
        <w:rPr>
          <w:rFonts w:ascii="Cambria" w:hAnsi="Cambria"/>
        </w:rPr>
        <w:t xml:space="preserve"> about its constitutionality</w:t>
      </w:r>
      <w:r w:rsidR="00A25CE6" w:rsidRPr="00234E2D">
        <w:rPr>
          <w:rFonts w:ascii="Cambria" w:hAnsi="Cambria"/>
        </w:rPr>
        <w:t xml:space="preserve">, requested </w:t>
      </w:r>
      <w:r w:rsidRPr="00234E2D">
        <w:rPr>
          <w:rFonts w:ascii="Cambria" w:hAnsi="Cambria"/>
        </w:rPr>
        <w:t xml:space="preserve">written </w:t>
      </w:r>
      <w:r w:rsidR="00A25CE6" w:rsidRPr="00234E2D">
        <w:rPr>
          <w:rFonts w:ascii="Cambria" w:hAnsi="Cambria"/>
        </w:rPr>
        <w:t xml:space="preserve">opinions </w:t>
      </w:r>
      <w:r w:rsidRPr="00234E2D">
        <w:rPr>
          <w:rFonts w:ascii="Cambria" w:hAnsi="Cambria"/>
        </w:rPr>
        <w:t>f</w:t>
      </w:r>
      <w:r w:rsidR="00A25CE6" w:rsidRPr="00234E2D">
        <w:rPr>
          <w:rFonts w:ascii="Cambria" w:hAnsi="Cambria"/>
        </w:rPr>
        <w:t>rom Attorney General Edmund Randolph and Secretary of State Thomas Jefferson.</w:t>
      </w:r>
    </w:p>
    <w:p w14:paraId="168840FF" w14:textId="77777777" w:rsidR="00786406" w:rsidRPr="00234E2D" w:rsidRDefault="00786406" w:rsidP="00A25CE6">
      <w:pPr>
        <w:spacing w:after="0" w:line="240" w:lineRule="auto"/>
        <w:rPr>
          <w:rFonts w:ascii="Cambria" w:hAnsi="Cambria"/>
        </w:rPr>
      </w:pPr>
    </w:p>
    <w:p w14:paraId="141EC55B" w14:textId="73E7B334" w:rsidR="00786406" w:rsidRPr="00234E2D" w:rsidRDefault="00786406" w:rsidP="00A25CE6">
      <w:pPr>
        <w:spacing w:after="0" w:line="240" w:lineRule="auto"/>
        <w:rPr>
          <w:rFonts w:ascii="Cambria" w:hAnsi="Cambria"/>
        </w:rPr>
      </w:pPr>
      <w:r w:rsidRPr="00234E2D">
        <w:rPr>
          <w:rFonts w:ascii="Cambria" w:hAnsi="Cambria"/>
        </w:rPr>
        <w:t xml:space="preserve">In opposing the bill, Madison expressly grounded his argument in the Convention’s prior refusals, warning that a power to incorporate a bank could not be reconciled with a </w:t>
      </w:r>
      <w:proofErr w:type="gramStart"/>
      <w:r w:rsidRPr="00234E2D">
        <w:rPr>
          <w:rFonts w:ascii="Cambria" w:hAnsi="Cambria"/>
        </w:rPr>
        <w:t>Constitution</w:t>
      </w:r>
      <w:proofErr w:type="gramEnd"/>
      <w:r w:rsidRPr="00234E2D">
        <w:rPr>
          <w:rFonts w:ascii="Cambria" w:hAnsi="Cambria"/>
        </w:rPr>
        <w:t xml:space="preserve"> that had deliberately declined to grant such authority. Other members of the House who had served as Convention delegates joined the debate on similar terms, some contesting Madison’s reading of the Necessary and Proper Clause rather than denying the historical premise itself. The House debates thus reveal that the constitutional controversy over the Bank did not turn on ignorance of the Convention’s late-stage decisions, but on a developing disagreement over whether those decisions constrained later implication.</w:t>
      </w:r>
      <w:r w:rsidRPr="00234E2D">
        <w:rPr>
          <w:rStyle w:val="FootnoteReference"/>
          <w:rFonts w:ascii="Cambria" w:hAnsi="Cambria"/>
        </w:rPr>
        <w:footnoteReference w:id="24"/>
      </w:r>
    </w:p>
    <w:p w14:paraId="54ABECAC" w14:textId="77777777" w:rsidR="00A25CE6" w:rsidRPr="00234E2D" w:rsidRDefault="00A25CE6" w:rsidP="00A25CE6">
      <w:pPr>
        <w:spacing w:after="0" w:line="240" w:lineRule="auto"/>
        <w:rPr>
          <w:rFonts w:ascii="Cambria" w:hAnsi="Cambria"/>
        </w:rPr>
      </w:pPr>
    </w:p>
    <w:p w14:paraId="63744B0C" w14:textId="2EA71C82" w:rsidR="00C1023F" w:rsidRPr="00234E2D" w:rsidRDefault="00C1023F" w:rsidP="00C1023F">
      <w:pPr>
        <w:spacing w:after="0" w:line="240" w:lineRule="auto"/>
        <w:rPr>
          <w:rFonts w:ascii="Cambria" w:hAnsi="Cambria"/>
        </w:rPr>
      </w:pPr>
      <w:r w:rsidRPr="00234E2D">
        <w:rPr>
          <w:rFonts w:ascii="Cambria" w:hAnsi="Cambria"/>
        </w:rPr>
        <w:t>In separate letters, Randolph and Jefferson asserted that the Bank Bill was unconstitutional and advised the President to veto it.</w:t>
      </w:r>
      <w:r w:rsidR="00A25CE6" w:rsidRPr="00234E2D">
        <w:rPr>
          <w:rFonts w:ascii="Cambria" w:hAnsi="Cambria"/>
        </w:rPr>
        <w:t xml:space="preserve"> Randolph grounded his objection in the absence of enumerated authority and the danger of consolidating power through implication.</w:t>
      </w:r>
      <w:r w:rsidR="00B27DDE" w:rsidRPr="00234E2D">
        <w:rPr>
          <w:rStyle w:val="FootnoteReference"/>
          <w:rFonts w:ascii="Cambria" w:hAnsi="Cambria"/>
        </w:rPr>
        <w:footnoteReference w:id="25"/>
      </w:r>
      <w:r w:rsidR="00B27DDE" w:rsidRPr="00234E2D">
        <w:rPr>
          <w:rFonts w:ascii="Cambria" w:hAnsi="Cambria"/>
        </w:rPr>
        <w:t xml:space="preserve"> </w:t>
      </w:r>
      <w:r w:rsidR="00B27DDE" w:rsidRPr="00234E2D">
        <w:rPr>
          <w:rStyle w:val="FootnoteReference"/>
          <w:rFonts w:ascii="Cambria" w:hAnsi="Cambria"/>
        </w:rPr>
        <w:footnoteReference w:id="26"/>
      </w:r>
    </w:p>
    <w:p w14:paraId="3811B2DE" w14:textId="77777777" w:rsidR="00086E0A" w:rsidRPr="00234E2D" w:rsidRDefault="00086E0A" w:rsidP="00C1023F">
      <w:pPr>
        <w:spacing w:after="0" w:line="240" w:lineRule="auto"/>
        <w:rPr>
          <w:rFonts w:ascii="Cambria" w:hAnsi="Cambria"/>
        </w:rPr>
      </w:pPr>
    </w:p>
    <w:p w14:paraId="7F6FEA97" w14:textId="3728ECD0" w:rsidR="00C1023F" w:rsidRPr="00234E2D" w:rsidRDefault="00C1023F" w:rsidP="00C1023F">
      <w:pPr>
        <w:spacing w:after="0" w:line="240" w:lineRule="auto"/>
        <w:rPr>
          <w:rFonts w:ascii="Cambria" w:hAnsi="Cambria"/>
        </w:rPr>
      </w:pPr>
      <w:r w:rsidRPr="00234E2D">
        <w:rPr>
          <w:rFonts w:ascii="Cambria" w:hAnsi="Cambria"/>
        </w:rPr>
        <w:t>In his letter, Jefferson</w:t>
      </w:r>
      <w:r w:rsidR="00B27DDE" w:rsidRPr="00234E2D">
        <w:rPr>
          <w:rFonts w:ascii="Cambria" w:hAnsi="Cambria"/>
        </w:rPr>
        <w:t xml:space="preserve"> </w:t>
      </w:r>
      <w:r w:rsidR="001E6C01" w:rsidRPr="00234E2D">
        <w:rPr>
          <w:rFonts w:ascii="Cambria" w:hAnsi="Cambria"/>
        </w:rPr>
        <w:t xml:space="preserve">expressly </w:t>
      </w:r>
      <w:r w:rsidR="00B27DDE" w:rsidRPr="00234E2D">
        <w:rPr>
          <w:rFonts w:ascii="Cambria" w:hAnsi="Cambria"/>
        </w:rPr>
        <w:t xml:space="preserve">referenced the Framers’ refusals in the September 14, </w:t>
      </w:r>
      <w:proofErr w:type="gramStart"/>
      <w:r w:rsidR="00B27DDE" w:rsidRPr="00234E2D">
        <w:rPr>
          <w:rFonts w:ascii="Cambria" w:hAnsi="Cambria"/>
        </w:rPr>
        <w:t>1787</w:t>
      </w:r>
      <w:proofErr w:type="gramEnd"/>
      <w:r w:rsidRPr="00234E2D">
        <w:rPr>
          <w:rFonts w:ascii="Cambria" w:hAnsi="Cambria"/>
        </w:rPr>
        <w:t xml:space="preserve"> </w:t>
      </w:r>
      <w:r w:rsidR="00B27DDE" w:rsidRPr="00234E2D">
        <w:rPr>
          <w:rFonts w:ascii="Cambria" w:hAnsi="Cambria"/>
        </w:rPr>
        <w:t>debate and warned</w:t>
      </w:r>
      <w:r w:rsidRPr="00234E2D">
        <w:rPr>
          <w:rFonts w:ascii="Cambria" w:hAnsi="Cambria"/>
        </w:rPr>
        <w:t>:</w:t>
      </w:r>
    </w:p>
    <w:p w14:paraId="68E3FFCE" w14:textId="77777777" w:rsidR="00C1023F" w:rsidRPr="00234E2D" w:rsidRDefault="00C1023F" w:rsidP="00C1023F">
      <w:pPr>
        <w:spacing w:after="0" w:line="240" w:lineRule="auto"/>
        <w:rPr>
          <w:rFonts w:ascii="Cambria" w:hAnsi="Cambria"/>
        </w:rPr>
      </w:pPr>
    </w:p>
    <w:p w14:paraId="03879DE4" w14:textId="0076DBCD" w:rsidR="00C1023F" w:rsidRPr="00234E2D" w:rsidRDefault="00C1023F" w:rsidP="00C1023F">
      <w:pPr>
        <w:spacing w:after="0" w:line="240" w:lineRule="auto"/>
        <w:ind w:left="576" w:right="576"/>
        <w:rPr>
          <w:rFonts w:ascii="Cambria" w:hAnsi="Cambria"/>
        </w:rPr>
      </w:pPr>
      <w:r w:rsidRPr="00234E2D">
        <w:rPr>
          <w:rFonts w:ascii="Cambria" w:hAnsi="Cambria"/>
        </w:rPr>
        <w:t>“To take a single step beyond the boundaries thus specially drawn around the powers of Congress, is to take possession of a boundless field of power, no longer susceptible of any definition.”</w:t>
      </w:r>
      <w:r w:rsidR="00E26CA1" w:rsidRPr="00234E2D">
        <w:rPr>
          <w:rStyle w:val="FootnoteReference"/>
          <w:rFonts w:ascii="Cambria" w:hAnsi="Cambria"/>
        </w:rPr>
        <w:footnoteReference w:id="27"/>
      </w:r>
    </w:p>
    <w:p w14:paraId="68D2342B" w14:textId="77777777" w:rsidR="00C1023F" w:rsidRPr="00234E2D" w:rsidRDefault="00C1023F" w:rsidP="00C1023F">
      <w:pPr>
        <w:spacing w:after="0" w:line="240" w:lineRule="auto"/>
        <w:ind w:left="576" w:right="576"/>
        <w:rPr>
          <w:rFonts w:ascii="Cambria" w:hAnsi="Cambria"/>
        </w:rPr>
      </w:pPr>
    </w:p>
    <w:p w14:paraId="29F492D9" w14:textId="64CCCE9F" w:rsidR="00B724DF" w:rsidRPr="00234E2D" w:rsidRDefault="00684483" w:rsidP="00C1023F">
      <w:pPr>
        <w:spacing w:after="0" w:line="240" w:lineRule="auto"/>
        <w:rPr>
          <w:rFonts w:ascii="Cambria" w:hAnsi="Cambria"/>
        </w:rPr>
      </w:pPr>
      <w:r w:rsidRPr="00234E2D">
        <w:rPr>
          <w:rFonts w:ascii="Cambria" w:hAnsi="Cambria"/>
        </w:rPr>
        <w:t>Washington transmitted these opinions to Secretary of State Alexander Hamilton and requested his own view</w:t>
      </w:r>
      <w:r w:rsidR="0088473B" w:rsidRPr="00234E2D">
        <w:rPr>
          <w:rFonts w:ascii="Cambria" w:hAnsi="Cambria"/>
        </w:rPr>
        <w:t>.</w:t>
      </w:r>
      <w:r w:rsidR="0088473B" w:rsidRPr="00234E2D">
        <w:rPr>
          <w:rStyle w:val="FootnoteReference"/>
          <w:rFonts w:ascii="Cambria" w:hAnsi="Cambria"/>
        </w:rPr>
        <w:footnoteReference w:id="28"/>
      </w:r>
      <w:r w:rsidR="0088473B" w:rsidRPr="00234E2D">
        <w:rPr>
          <w:rFonts w:ascii="Cambria" w:hAnsi="Cambria"/>
        </w:rPr>
        <w:t xml:space="preserve"> </w:t>
      </w:r>
      <w:r w:rsidRPr="00234E2D">
        <w:rPr>
          <w:rStyle w:val="Strong"/>
          <w:rFonts w:ascii="Cambria" w:hAnsi="Cambria"/>
          <w:b w:val="0"/>
          <w:bCs w:val="0"/>
        </w:rPr>
        <w:t>At the same time, the President asked Madison to prepare a draft veto message, underscoring the seriousness with which the constitutional objections were being considered.</w:t>
      </w:r>
      <w:r w:rsidRPr="00234E2D">
        <w:rPr>
          <w:rFonts w:ascii="Cambria" w:hAnsi="Cambria"/>
        </w:rPr>
        <w:t xml:space="preserve"> Madison completed the draft on February 21</w:t>
      </w:r>
      <w:r w:rsidR="00AF5016" w:rsidRPr="00234E2D">
        <w:rPr>
          <w:rFonts w:ascii="Cambria" w:hAnsi="Cambria"/>
        </w:rPr>
        <w:t>.</w:t>
      </w:r>
      <w:r w:rsidR="00AF5016" w:rsidRPr="00234E2D">
        <w:rPr>
          <w:rStyle w:val="FootnoteReference"/>
          <w:rFonts w:ascii="Cambria" w:hAnsi="Cambria"/>
        </w:rPr>
        <w:footnoteReference w:id="29"/>
      </w:r>
      <w:r w:rsidR="00C1023F" w:rsidRPr="00234E2D">
        <w:rPr>
          <w:rFonts w:ascii="Cambria" w:hAnsi="Cambria"/>
        </w:rPr>
        <w:t xml:space="preserve"> </w:t>
      </w:r>
    </w:p>
    <w:p w14:paraId="255520EF" w14:textId="77777777" w:rsidR="00B724DF" w:rsidRPr="00234E2D" w:rsidRDefault="00B724DF" w:rsidP="00C1023F">
      <w:pPr>
        <w:spacing w:after="0" w:line="240" w:lineRule="auto"/>
        <w:rPr>
          <w:rFonts w:ascii="Cambria" w:hAnsi="Cambria"/>
        </w:rPr>
      </w:pPr>
    </w:p>
    <w:p w14:paraId="7C577EBB" w14:textId="468B17A7" w:rsidR="00816BF1" w:rsidRPr="00234E2D" w:rsidRDefault="00C227EB" w:rsidP="00C1023F">
      <w:pPr>
        <w:spacing w:after="0" w:line="240" w:lineRule="auto"/>
        <w:rPr>
          <w:rFonts w:ascii="Cambria" w:hAnsi="Cambria"/>
        </w:rPr>
      </w:pPr>
      <w:r w:rsidRPr="00234E2D">
        <w:rPr>
          <w:rFonts w:ascii="Cambria" w:hAnsi="Cambria"/>
        </w:rPr>
        <w:t xml:space="preserve">While acknowledging “the power to erect a corporation is not among the enumerated powers,” Hamilton </w:t>
      </w:r>
      <w:r w:rsidR="00B724DF" w:rsidRPr="00234E2D">
        <w:rPr>
          <w:rFonts w:ascii="Cambria" w:hAnsi="Cambria"/>
        </w:rPr>
        <w:t>assert</w:t>
      </w:r>
      <w:r w:rsidRPr="00234E2D">
        <w:rPr>
          <w:rFonts w:ascii="Cambria" w:hAnsi="Cambria"/>
        </w:rPr>
        <w:t xml:space="preserve">ed Jefferson’s contention that the Framers refused </w:t>
      </w:r>
      <w:r w:rsidR="00B724DF" w:rsidRPr="00234E2D">
        <w:rPr>
          <w:rFonts w:ascii="Cambria" w:hAnsi="Cambria"/>
        </w:rPr>
        <w:t>the</w:t>
      </w:r>
      <w:r w:rsidRPr="00234E2D">
        <w:rPr>
          <w:rFonts w:ascii="Cambria" w:hAnsi="Cambria"/>
        </w:rPr>
        <w:t xml:space="preserve"> power to incorporate “is not ascertained by any authentic document, or even by accurate recollection.” </w:t>
      </w:r>
      <w:r w:rsidR="00BB5682" w:rsidRPr="00234E2D">
        <w:rPr>
          <w:rFonts w:ascii="Cambria" w:hAnsi="Cambria"/>
        </w:rPr>
        <w:t xml:space="preserve">Maintaining Randolph and Jefferson were “mistaken when they deny generally the power of the National government to erect corporations,” </w:t>
      </w:r>
      <w:r w:rsidR="00B724DF" w:rsidRPr="00234E2D">
        <w:rPr>
          <w:rFonts w:ascii="Cambria" w:hAnsi="Cambria"/>
        </w:rPr>
        <w:t xml:space="preserve">Hamilton </w:t>
      </w:r>
      <w:r w:rsidR="006D3A06" w:rsidRPr="00234E2D">
        <w:rPr>
          <w:rFonts w:ascii="Cambria" w:hAnsi="Cambria"/>
        </w:rPr>
        <w:t>argued</w:t>
      </w:r>
      <w:r w:rsidR="00C1023F" w:rsidRPr="00234E2D">
        <w:rPr>
          <w:rFonts w:ascii="Cambria" w:hAnsi="Cambria"/>
        </w:rPr>
        <w:t xml:space="preserve"> for implication from text alone</w:t>
      </w:r>
      <w:r w:rsidR="0099485E" w:rsidRPr="00234E2D">
        <w:rPr>
          <w:rFonts w:ascii="Cambria" w:hAnsi="Cambria"/>
        </w:rPr>
        <w:t>,</w:t>
      </w:r>
      <w:r w:rsidR="00C1023F" w:rsidRPr="00234E2D">
        <w:rPr>
          <w:rFonts w:ascii="Cambria" w:hAnsi="Cambria"/>
        </w:rPr>
        <w:t xml:space="preserve"> </w:t>
      </w:r>
      <w:r w:rsidR="00816BF1" w:rsidRPr="00234E2D">
        <w:rPr>
          <w:rFonts w:ascii="Cambria" w:hAnsi="Cambria"/>
        </w:rPr>
        <w:t xml:space="preserve">construed broadly under the Necessary and Proper Clause. </w:t>
      </w:r>
      <w:r w:rsidR="00BB5682" w:rsidRPr="00234E2D">
        <w:rPr>
          <w:rFonts w:ascii="Cambria" w:hAnsi="Cambria"/>
        </w:rPr>
        <w:t xml:space="preserve">He </w:t>
      </w:r>
      <w:r w:rsidR="0099485E" w:rsidRPr="00234E2D">
        <w:rPr>
          <w:rFonts w:ascii="Cambria" w:hAnsi="Cambria"/>
        </w:rPr>
        <w:t xml:space="preserve">submitted his </w:t>
      </w:r>
      <w:r w:rsidR="00C1023F" w:rsidRPr="00234E2D">
        <w:rPr>
          <w:rFonts w:ascii="Cambria" w:hAnsi="Cambria"/>
        </w:rPr>
        <w:t>opinion</w:t>
      </w:r>
      <w:r w:rsidR="0099485E" w:rsidRPr="00234E2D">
        <w:rPr>
          <w:rFonts w:ascii="Cambria" w:hAnsi="Cambria"/>
        </w:rPr>
        <w:t xml:space="preserve"> on February 23.</w:t>
      </w:r>
      <w:r w:rsidR="0099485E" w:rsidRPr="00234E2D">
        <w:rPr>
          <w:rStyle w:val="FootnoteReference"/>
          <w:rFonts w:ascii="Cambria" w:hAnsi="Cambria"/>
        </w:rPr>
        <w:footnoteReference w:id="30"/>
      </w:r>
      <w:r w:rsidR="0099485E" w:rsidRPr="00234E2D">
        <w:rPr>
          <w:rFonts w:ascii="Cambria" w:hAnsi="Cambria"/>
        </w:rPr>
        <w:t xml:space="preserve"> </w:t>
      </w:r>
      <w:r w:rsidR="00BB5682" w:rsidRPr="00234E2D">
        <w:rPr>
          <w:rFonts w:ascii="Cambria" w:hAnsi="Cambria"/>
        </w:rPr>
        <w:t>The</w:t>
      </w:r>
      <w:r w:rsidR="0099485E" w:rsidRPr="00234E2D">
        <w:rPr>
          <w:rFonts w:ascii="Cambria" w:hAnsi="Cambria"/>
        </w:rPr>
        <w:t xml:space="preserve"> President signed the Bank Bill February 25</w:t>
      </w:r>
      <w:r w:rsidR="00C1023F" w:rsidRPr="00234E2D">
        <w:rPr>
          <w:rFonts w:ascii="Cambria" w:hAnsi="Cambria"/>
        </w:rPr>
        <w:t>.</w:t>
      </w:r>
      <w:r w:rsidR="008F7CB9" w:rsidRPr="00234E2D">
        <w:rPr>
          <w:rFonts w:ascii="Cambria" w:hAnsi="Cambria"/>
        </w:rPr>
        <w:t xml:space="preserve"> </w:t>
      </w:r>
    </w:p>
    <w:p w14:paraId="50FCD6CC" w14:textId="77777777" w:rsidR="008F7CB9" w:rsidRPr="00234E2D" w:rsidRDefault="008F7CB9" w:rsidP="00C1023F">
      <w:pPr>
        <w:spacing w:after="0" w:line="240" w:lineRule="auto"/>
        <w:rPr>
          <w:rFonts w:ascii="Cambria" w:hAnsi="Cambria"/>
        </w:rPr>
      </w:pPr>
    </w:p>
    <w:p w14:paraId="5843CAF6" w14:textId="76F7ED45" w:rsidR="008F7CB9" w:rsidRPr="00234E2D" w:rsidRDefault="008F7CB9" w:rsidP="00C1023F">
      <w:pPr>
        <w:spacing w:after="0" w:line="240" w:lineRule="auto"/>
        <w:rPr>
          <w:rFonts w:ascii="Cambria" w:hAnsi="Cambria"/>
        </w:rPr>
      </w:pPr>
      <w:r w:rsidRPr="00234E2D">
        <w:rPr>
          <w:rFonts w:ascii="Cambria" w:hAnsi="Cambria"/>
        </w:rPr>
        <w:t xml:space="preserve">Hamilton’s dismissal of prior refusals is especially notable given </w:t>
      </w:r>
      <w:r w:rsidR="00921D21" w:rsidRPr="00234E2D">
        <w:rPr>
          <w:rFonts w:ascii="Cambria" w:hAnsi="Cambria"/>
        </w:rPr>
        <w:t>his service</w:t>
      </w:r>
      <w:r w:rsidRPr="00234E2D">
        <w:rPr>
          <w:rFonts w:ascii="Cambria" w:hAnsi="Cambria"/>
        </w:rPr>
        <w:t xml:space="preserve"> on the Committee of Style, which reorganized the Constitution’s text after enumeration was complete and after the Convention had declined to add powers to fund canals or grant corporate charters.</w:t>
      </w:r>
    </w:p>
    <w:p w14:paraId="6A907BDE" w14:textId="77777777" w:rsidR="00514845" w:rsidRPr="00234E2D" w:rsidRDefault="00514845" w:rsidP="00C1023F">
      <w:pPr>
        <w:spacing w:after="0" w:line="240" w:lineRule="auto"/>
        <w:rPr>
          <w:rFonts w:ascii="Cambria" w:hAnsi="Cambria"/>
        </w:rPr>
      </w:pPr>
    </w:p>
    <w:p w14:paraId="718DC3CF" w14:textId="50E19370" w:rsidR="00514845" w:rsidRPr="00234E2D" w:rsidRDefault="00514845" w:rsidP="00C1023F">
      <w:pPr>
        <w:spacing w:after="0" w:line="240" w:lineRule="auto"/>
        <w:rPr>
          <w:rFonts w:ascii="Cambria" w:hAnsi="Cambria"/>
        </w:rPr>
      </w:pPr>
      <w:r w:rsidRPr="00234E2D">
        <w:rPr>
          <w:rFonts w:ascii="Cambria" w:hAnsi="Cambria"/>
        </w:rPr>
        <w:t xml:space="preserve">Hamilton did not deny the absence of enumeration; he denied the constitutional significance of prior refusal. </w:t>
      </w:r>
      <w:r w:rsidR="008839A9" w:rsidRPr="00234E2D">
        <w:rPr>
          <w:rFonts w:ascii="Cambria" w:hAnsi="Cambria"/>
        </w:rPr>
        <w:t>That methodological move was not confined to Hamilton alone.</w:t>
      </w:r>
      <w:r w:rsidR="00773F7F" w:rsidRPr="00234E2D">
        <w:rPr>
          <w:rStyle w:val="FootnoteReference"/>
          <w:rFonts w:ascii="Cambria" w:hAnsi="Cambria"/>
        </w:rPr>
        <w:footnoteReference w:id="31"/>
      </w:r>
      <w:r w:rsidR="008839A9" w:rsidRPr="00234E2D">
        <w:rPr>
          <w:rFonts w:ascii="Cambria" w:hAnsi="Cambria"/>
        </w:rPr>
        <w:t xml:space="preserve"> </w:t>
      </w:r>
      <w:r w:rsidRPr="00234E2D">
        <w:rPr>
          <w:rFonts w:ascii="Cambria" w:hAnsi="Cambria"/>
        </w:rPr>
        <w:t>Where Madison</w:t>
      </w:r>
      <w:r w:rsidR="00305F0D" w:rsidRPr="00234E2D">
        <w:rPr>
          <w:rFonts w:ascii="Cambria" w:hAnsi="Cambria"/>
        </w:rPr>
        <w:t>, Randolph and Jefferson</w:t>
      </w:r>
      <w:r w:rsidRPr="00234E2D">
        <w:rPr>
          <w:rFonts w:ascii="Cambria" w:hAnsi="Cambria"/>
        </w:rPr>
        <w:t xml:space="preserve"> treated constitutional meaning as fixed by institutional action, Hamilton treated it as elastic</w:t>
      </w:r>
      <w:r w:rsidR="008839A9" w:rsidRPr="00234E2D">
        <w:rPr>
          <w:rFonts w:ascii="Cambria" w:hAnsi="Cambria"/>
        </w:rPr>
        <w:t xml:space="preserve"> - </w:t>
      </w:r>
      <w:r w:rsidRPr="00234E2D">
        <w:rPr>
          <w:rFonts w:ascii="Cambria" w:hAnsi="Cambria"/>
        </w:rPr>
        <w:t>to be inferred from text alone.</w:t>
      </w:r>
      <w:r w:rsidR="005E5BA3" w:rsidRPr="00234E2D">
        <w:rPr>
          <w:rStyle w:val="FootnoteReference"/>
          <w:rFonts w:ascii="Cambria" w:hAnsi="Cambria"/>
        </w:rPr>
        <w:footnoteReference w:id="32"/>
      </w:r>
    </w:p>
    <w:p w14:paraId="1F8423AA" w14:textId="77777777" w:rsidR="009737E7" w:rsidRPr="00234E2D" w:rsidRDefault="009737E7" w:rsidP="00C1023F">
      <w:pPr>
        <w:spacing w:after="0" w:line="240" w:lineRule="auto"/>
        <w:rPr>
          <w:rFonts w:ascii="Cambria" w:hAnsi="Cambria"/>
        </w:rPr>
      </w:pPr>
    </w:p>
    <w:p w14:paraId="60A4A0AF" w14:textId="63D48100" w:rsidR="009737E7" w:rsidRPr="00234E2D" w:rsidRDefault="009737E7" w:rsidP="009737E7">
      <w:pPr>
        <w:spacing w:after="0" w:line="240" w:lineRule="auto"/>
        <w:rPr>
          <w:rFonts w:ascii="Cambria" w:hAnsi="Cambria"/>
        </w:rPr>
      </w:pPr>
      <w:r w:rsidRPr="00234E2D">
        <w:rPr>
          <w:rFonts w:ascii="Cambria" w:hAnsi="Cambria"/>
        </w:rPr>
        <w:t xml:space="preserve">Notably, Madison’s Notes of the Convention debates - detailing the chronology by which enumerated powers were </w:t>
      </w:r>
      <w:r w:rsidR="006E4657" w:rsidRPr="00234E2D">
        <w:rPr>
          <w:rFonts w:ascii="Cambria" w:hAnsi="Cambria"/>
        </w:rPr>
        <w:t>adopte</w:t>
      </w:r>
      <w:r w:rsidRPr="00234E2D">
        <w:rPr>
          <w:rFonts w:ascii="Cambria" w:hAnsi="Cambria"/>
        </w:rPr>
        <w:t xml:space="preserve">d and additional authorities to charter corporations </w:t>
      </w:r>
      <w:r w:rsidR="006E4657" w:rsidRPr="00234E2D">
        <w:rPr>
          <w:rFonts w:ascii="Cambria" w:hAnsi="Cambria"/>
        </w:rPr>
        <w:t>and</w:t>
      </w:r>
      <w:r w:rsidRPr="00234E2D">
        <w:rPr>
          <w:rFonts w:ascii="Cambria" w:hAnsi="Cambria"/>
        </w:rPr>
        <w:t xml:space="preserve"> fund </w:t>
      </w:r>
      <w:r w:rsidR="006E4657" w:rsidRPr="00234E2D">
        <w:rPr>
          <w:rFonts w:ascii="Cambria" w:hAnsi="Cambria"/>
        </w:rPr>
        <w:t>canal</w:t>
      </w:r>
      <w:r w:rsidRPr="00234E2D">
        <w:rPr>
          <w:rFonts w:ascii="Cambria" w:hAnsi="Cambria"/>
        </w:rPr>
        <w:t>s refused - were not published until 1840.</w:t>
      </w:r>
      <w:r w:rsidRPr="00234E2D">
        <w:rPr>
          <w:rStyle w:val="FootnoteReference"/>
          <w:rFonts w:ascii="Cambria" w:hAnsi="Cambria"/>
        </w:rPr>
        <w:footnoteReference w:id="33"/>
      </w:r>
      <w:r w:rsidRPr="00234E2D">
        <w:rPr>
          <w:rFonts w:ascii="Cambria" w:hAnsi="Cambria"/>
        </w:rPr>
        <w:t xml:space="preserve"> Their unavailability during the Bank Bill controversy helps explain, </w:t>
      </w:r>
      <w:r w:rsidRPr="00234E2D">
        <w:rPr>
          <w:rFonts w:ascii="Cambria" w:hAnsi="Cambria"/>
          <w:i/>
          <w:iCs/>
        </w:rPr>
        <w:t>but does not justify</w:t>
      </w:r>
      <w:r w:rsidRPr="00234E2D">
        <w:rPr>
          <w:rFonts w:ascii="Cambria" w:hAnsi="Cambria"/>
        </w:rPr>
        <w:t xml:space="preserve">, why the sequence of enumeration and refusal played little role in the constitutional analysis of 1791. </w:t>
      </w:r>
    </w:p>
    <w:p w14:paraId="2E3098FB" w14:textId="77777777" w:rsidR="009737E7" w:rsidRPr="00234E2D" w:rsidRDefault="009737E7" w:rsidP="009737E7">
      <w:pPr>
        <w:spacing w:after="0" w:line="240" w:lineRule="auto"/>
        <w:rPr>
          <w:rFonts w:ascii="Cambria" w:hAnsi="Cambria"/>
        </w:rPr>
      </w:pPr>
    </w:p>
    <w:p w14:paraId="718F58AE" w14:textId="2A227D45" w:rsidR="00C1023F" w:rsidRPr="00234E2D" w:rsidRDefault="009737E7" w:rsidP="00C1023F">
      <w:pPr>
        <w:spacing w:after="0" w:line="240" w:lineRule="auto"/>
        <w:rPr>
          <w:rFonts w:ascii="Cambria" w:hAnsi="Cambria"/>
        </w:rPr>
      </w:pPr>
      <w:r w:rsidRPr="00234E2D">
        <w:rPr>
          <w:rFonts w:ascii="Cambria" w:hAnsi="Cambria"/>
        </w:rPr>
        <w:t>Hamilton’s methodological move - dis</w:t>
      </w:r>
      <w:r w:rsidR="006D3A06" w:rsidRPr="00234E2D">
        <w:rPr>
          <w:rFonts w:ascii="Cambria" w:hAnsi="Cambria"/>
        </w:rPr>
        <w:t>regard</w:t>
      </w:r>
      <w:r w:rsidRPr="00234E2D">
        <w:rPr>
          <w:rFonts w:ascii="Cambria" w:hAnsi="Cambria"/>
        </w:rPr>
        <w:t xml:space="preserve">ing sequence and refusal in favor of implication drawn from constitutional text - thus marked a pivotal turn in American constitutional interpretation. </w:t>
      </w:r>
      <w:r w:rsidR="00F60AF0" w:rsidRPr="00234E2D">
        <w:rPr>
          <w:rStyle w:val="Emphasis"/>
          <w:rFonts w:ascii="Cambria" w:hAnsi="Cambria"/>
          <w:i w:val="0"/>
          <w:iCs w:val="0"/>
        </w:rPr>
        <w:t>Chief Justice Marshall would later constitutionalize this approach in</w:t>
      </w:r>
      <w:r w:rsidR="00F60AF0" w:rsidRPr="00234E2D">
        <w:rPr>
          <w:rFonts w:ascii="Cambria" w:hAnsi="Cambria"/>
          <w:i/>
          <w:iCs/>
        </w:rPr>
        <w:t xml:space="preserve"> McCulloch v. Maryland </w:t>
      </w:r>
      <w:r w:rsidR="00F60AF0" w:rsidRPr="00234E2D">
        <w:rPr>
          <w:rFonts w:ascii="Cambria" w:hAnsi="Cambria"/>
        </w:rPr>
        <w:t>(1819)</w:t>
      </w:r>
      <w:r w:rsidR="00F60AF0" w:rsidRPr="00234E2D">
        <w:rPr>
          <w:rStyle w:val="Emphasis"/>
          <w:rFonts w:ascii="Cambria" w:hAnsi="Cambria"/>
          <w:i w:val="0"/>
          <w:iCs w:val="0"/>
        </w:rPr>
        <w:t>,</w:t>
      </w:r>
      <w:r w:rsidR="00F60AF0" w:rsidRPr="00234E2D">
        <w:rPr>
          <w:rStyle w:val="Emphasis"/>
          <w:rFonts w:ascii="Cambria" w:hAnsi="Cambria"/>
        </w:rPr>
        <w:t xml:space="preserve"> </w:t>
      </w:r>
      <w:r w:rsidR="00F60AF0" w:rsidRPr="00234E2D">
        <w:rPr>
          <w:rStyle w:val="Emphasis"/>
          <w:rFonts w:ascii="Cambria" w:hAnsi="Cambria"/>
          <w:i w:val="0"/>
          <w:iCs w:val="0"/>
        </w:rPr>
        <w:t>adopting Hamilton’s means–end framework under the Necessary and Pro</w:t>
      </w:r>
      <w:r w:rsidR="0078680D" w:rsidRPr="00234E2D">
        <w:rPr>
          <w:rStyle w:val="Emphasis"/>
          <w:rFonts w:ascii="Cambria" w:hAnsi="Cambria"/>
          <w:i w:val="0"/>
          <w:iCs w:val="0"/>
        </w:rPr>
        <w:t>per Clause,</w:t>
      </w:r>
      <w:r w:rsidRPr="00234E2D">
        <w:rPr>
          <w:rStyle w:val="FootnoteReference"/>
          <w:rFonts w:ascii="Cambria" w:hAnsi="Cambria"/>
        </w:rPr>
        <w:footnoteReference w:id="34"/>
      </w:r>
      <w:r w:rsidR="0078680D" w:rsidRPr="00234E2D">
        <w:rPr>
          <w:rFonts w:ascii="Cambria" w:hAnsi="Cambria"/>
        </w:rPr>
        <w:t xml:space="preserve"> </w:t>
      </w:r>
      <w:r w:rsidRPr="00234E2D">
        <w:rPr>
          <w:rFonts w:ascii="Cambria" w:hAnsi="Cambria"/>
        </w:rPr>
        <w:t xml:space="preserve">and </w:t>
      </w:r>
      <w:r w:rsidR="0078680D" w:rsidRPr="00234E2D">
        <w:rPr>
          <w:rFonts w:ascii="Cambria" w:hAnsi="Cambria"/>
        </w:rPr>
        <w:t xml:space="preserve">extended it </w:t>
      </w:r>
      <w:r w:rsidRPr="00234E2D">
        <w:rPr>
          <w:rFonts w:ascii="Cambria" w:hAnsi="Cambria"/>
        </w:rPr>
        <w:t xml:space="preserve">in </w:t>
      </w:r>
      <w:r w:rsidRPr="00234E2D">
        <w:rPr>
          <w:rFonts w:ascii="Cambria" w:hAnsi="Cambria"/>
          <w:i/>
          <w:iCs/>
        </w:rPr>
        <w:t>Gibbons v. Ogden</w:t>
      </w:r>
      <w:r w:rsidRPr="00234E2D">
        <w:rPr>
          <w:rFonts w:ascii="Cambria" w:hAnsi="Cambria"/>
        </w:rPr>
        <w:t xml:space="preserve"> (1824)</w:t>
      </w:r>
      <w:r w:rsidR="0078680D" w:rsidRPr="00234E2D">
        <w:rPr>
          <w:rFonts w:ascii="Cambria" w:hAnsi="Cambria"/>
        </w:rPr>
        <w:t xml:space="preserve"> through a broad construction of</w:t>
      </w:r>
      <w:r w:rsidRPr="00234E2D">
        <w:rPr>
          <w:rFonts w:ascii="Cambria" w:hAnsi="Cambria"/>
        </w:rPr>
        <w:t xml:space="preserve"> the Commerce Clause.</w:t>
      </w:r>
      <w:r w:rsidR="00760A0B" w:rsidRPr="00234E2D">
        <w:rPr>
          <w:rStyle w:val="FootnoteReference"/>
          <w:rFonts w:ascii="Cambria" w:hAnsi="Cambria"/>
        </w:rPr>
        <w:footnoteReference w:id="35"/>
      </w:r>
      <w:r w:rsidRPr="00234E2D">
        <w:rPr>
          <w:rFonts w:ascii="Cambria" w:hAnsi="Cambria"/>
        </w:rPr>
        <w:t xml:space="preserve"> Neither decision engaged the Convention’s post-enumeration refusals, nor could they readily do so given the unpublished state of Madison’s Notes at the time. </w:t>
      </w:r>
    </w:p>
    <w:p w14:paraId="0A212AF6" w14:textId="77777777" w:rsidR="009737E7" w:rsidRPr="00234E2D" w:rsidRDefault="009737E7" w:rsidP="00C1023F">
      <w:pPr>
        <w:spacing w:after="0" w:line="240" w:lineRule="auto"/>
        <w:rPr>
          <w:rFonts w:ascii="Cambria" w:hAnsi="Cambria"/>
        </w:rPr>
      </w:pPr>
    </w:p>
    <w:p w14:paraId="43D47C6D" w14:textId="55CFB28B" w:rsidR="006704CA" w:rsidRPr="00234E2D" w:rsidRDefault="00C1023F" w:rsidP="00C1023F">
      <w:pPr>
        <w:spacing w:after="0" w:line="240" w:lineRule="auto"/>
        <w:rPr>
          <w:rFonts w:ascii="Cambria" w:hAnsi="Cambria"/>
        </w:rPr>
      </w:pPr>
      <w:r w:rsidRPr="00234E2D">
        <w:rPr>
          <w:rFonts w:ascii="Cambria" w:hAnsi="Cambria"/>
          <w:b/>
          <w:bCs/>
        </w:rPr>
        <w:t>VII. Executive Practice</w:t>
      </w:r>
      <w:r w:rsidR="00353EEF" w:rsidRPr="00234E2D">
        <w:rPr>
          <w:rFonts w:ascii="Cambria" w:hAnsi="Cambria"/>
          <w:b/>
          <w:bCs/>
        </w:rPr>
        <w:t xml:space="preserve">, </w:t>
      </w:r>
      <w:r w:rsidRPr="00234E2D">
        <w:rPr>
          <w:rFonts w:ascii="Cambria" w:hAnsi="Cambria"/>
          <w:b/>
          <w:bCs/>
        </w:rPr>
        <w:t xml:space="preserve">Party Doctrine, </w:t>
      </w:r>
      <w:r w:rsidR="00353EEF" w:rsidRPr="00234E2D">
        <w:rPr>
          <w:rFonts w:ascii="Cambria" w:hAnsi="Cambria"/>
          <w:b/>
          <w:bCs/>
        </w:rPr>
        <w:t>and the Erosion of Restraint (</w:t>
      </w:r>
      <w:r w:rsidR="004E1302" w:rsidRPr="00234E2D">
        <w:rPr>
          <w:rFonts w:ascii="Cambria" w:hAnsi="Cambria"/>
          <w:b/>
          <w:bCs/>
        </w:rPr>
        <w:t>1817-186</w:t>
      </w:r>
      <w:r w:rsidR="00353EEF" w:rsidRPr="00234E2D">
        <w:rPr>
          <w:rFonts w:ascii="Cambria" w:hAnsi="Cambria"/>
          <w:b/>
          <w:bCs/>
        </w:rPr>
        <w:t>6)</w:t>
      </w:r>
    </w:p>
    <w:p w14:paraId="75744DDE" w14:textId="49FBF9E3" w:rsidR="00D923AD" w:rsidRPr="00234E2D" w:rsidRDefault="00D923AD" w:rsidP="00A3693A">
      <w:pPr>
        <w:spacing w:after="0" w:line="240" w:lineRule="auto"/>
        <w:rPr>
          <w:rFonts w:ascii="Cambria" w:hAnsi="Cambria"/>
        </w:rPr>
      </w:pPr>
      <w:r w:rsidRPr="00234E2D">
        <w:rPr>
          <w:rFonts w:ascii="Cambria" w:hAnsi="Cambria"/>
        </w:rPr>
        <w:t xml:space="preserve">In 1796, </w:t>
      </w:r>
      <w:r w:rsidR="000403F3" w:rsidRPr="00234E2D">
        <w:rPr>
          <w:rFonts w:ascii="Cambria" w:hAnsi="Cambria"/>
        </w:rPr>
        <w:t xml:space="preserve">Thomas </w:t>
      </w:r>
      <w:r w:rsidRPr="00234E2D">
        <w:rPr>
          <w:rFonts w:ascii="Cambria" w:hAnsi="Cambria"/>
        </w:rPr>
        <w:t xml:space="preserve">Jefferson wrote to </w:t>
      </w:r>
      <w:r w:rsidR="000403F3" w:rsidRPr="00234E2D">
        <w:rPr>
          <w:rFonts w:ascii="Cambria" w:hAnsi="Cambria"/>
        </w:rPr>
        <w:t xml:space="preserve">James </w:t>
      </w:r>
      <w:r w:rsidRPr="00234E2D">
        <w:rPr>
          <w:rFonts w:ascii="Cambria" w:hAnsi="Cambria"/>
        </w:rPr>
        <w:t xml:space="preserve">Madison expressing concern </w:t>
      </w:r>
      <w:r w:rsidR="00390A3E" w:rsidRPr="00234E2D">
        <w:rPr>
          <w:rFonts w:ascii="Cambria" w:hAnsi="Cambria"/>
        </w:rPr>
        <w:t>that even</w:t>
      </w:r>
      <w:r w:rsidRPr="00234E2D">
        <w:rPr>
          <w:rFonts w:ascii="Cambria" w:hAnsi="Cambria"/>
        </w:rPr>
        <w:t xml:space="preserve"> the Postal Clause of Article I, Section 8</w:t>
      </w:r>
      <w:r w:rsidR="00390A3E" w:rsidRPr="00234E2D">
        <w:rPr>
          <w:rFonts w:ascii="Cambria" w:hAnsi="Cambria"/>
        </w:rPr>
        <w:t xml:space="preserve"> could generate</w:t>
      </w:r>
      <w:r w:rsidRPr="00234E2D">
        <w:rPr>
          <w:rFonts w:ascii="Cambria" w:hAnsi="Cambria"/>
        </w:rPr>
        <w:t xml:space="preserve"> “</w:t>
      </w:r>
      <w:r w:rsidRPr="00234E2D">
        <w:rPr>
          <w:rFonts w:ascii="Cambria" w:hAnsi="Cambria"/>
          <w:color w:val="000000"/>
        </w:rPr>
        <w:t>a scene of eternal scramble among the members, who can get the most money wasted in their State; and they will always get most who are meanest.”</w:t>
      </w:r>
      <w:r w:rsidRPr="00234E2D">
        <w:rPr>
          <w:rStyle w:val="FootnoteReference"/>
          <w:rFonts w:ascii="Cambria" w:hAnsi="Cambria"/>
          <w:color w:val="000000"/>
        </w:rPr>
        <w:footnoteReference w:id="36"/>
      </w:r>
      <w:r w:rsidRPr="00234E2D">
        <w:rPr>
          <w:rFonts w:ascii="Cambria" w:hAnsi="Cambria"/>
        </w:rPr>
        <w:t xml:space="preserve"> </w:t>
      </w:r>
      <w:r w:rsidR="00C77479" w:rsidRPr="00234E2D">
        <w:rPr>
          <w:rFonts w:ascii="Cambria" w:hAnsi="Cambria"/>
        </w:rPr>
        <w:t>Jefferson’s warning reflected an early fear that federal spending authority - even when attached to an enumerated power -could invite sectional conflict and fiscal abuse if untethered from constitutional limits.</w:t>
      </w:r>
    </w:p>
    <w:p w14:paraId="0F8D7623" w14:textId="77777777" w:rsidR="006D3A06" w:rsidRPr="00234E2D" w:rsidRDefault="006D3A06" w:rsidP="00A3693A">
      <w:pPr>
        <w:spacing w:after="0" w:line="240" w:lineRule="auto"/>
        <w:rPr>
          <w:rFonts w:ascii="Cambria" w:eastAsia="Times New Roman" w:hAnsi="Cambria" w:cs="Times New Roman"/>
          <w:kern w:val="0"/>
          <w14:ligatures w14:val="none"/>
        </w:rPr>
      </w:pPr>
    </w:p>
    <w:p w14:paraId="713B0D7E" w14:textId="6FC2BAD5" w:rsidR="00A3693A" w:rsidRPr="00234E2D" w:rsidRDefault="00A3693A" w:rsidP="00A3693A">
      <w:pPr>
        <w:spacing w:after="0" w:line="240" w:lineRule="auto"/>
        <w:rPr>
          <w:rFonts w:ascii="Cambria" w:hAnsi="Cambria"/>
        </w:rPr>
      </w:pPr>
      <w:r w:rsidRPr="00234E2D">
        <w:rPr>
          <w:rFonts w:ascii="Cambria" w:hAnsi="Cambria"/>
        </w:rPr>
        <w:lastRenderedPageBreak/>
        <w:t xml:space="preserve">Between 1817 and 1860, seven Presidents vetoed twenty internal-improvement bills on constitutional grounds, consistently denying </w:t>
      </w:r>
      <w:r w:rsidR="00F55BD2" w:rsidRPr="00234E2D">
        <w:rPr>
          <w:rFonts w:ascii="Cambria" w:hAnsi="Cambria"/>
        </w:rPr>
        <w:t>that Congress possessed authority</w:t>
      </w:r>
      <w:r w:rsidRPr="00234E2D">
        <w:rPr>
          <w:rFonts w:ascii="Cambria" w:hAnsi="Cambria"/>
        </w:rPr>
        <w:t xml:space="preserve"> to fund </w:t>
      </w:r>
      <w:r w:rsidR="0079348C" w:rsidRPr="00234E2D">
        <w:rPr>
          <w:rFonts w:ascii="Cambria" w:hAnsi="Cambria"/>
        </w:rPr>
        <w:t>local infrastructure</w:t>
      </w:r>
      <w:r w:rsidRPr="00234E2D">
        <w:rPr>
          <w:rFonts w:ascii="Cambria" w:hAnsi="Cambria"/>
        </w:rPr>
        <w:t>.</w:t>
      </w:r>
      <w:r w:rsidR="00F72C9C" w:rsidRPr="00234E2D">
        <w:rPr>
          <w:rStyle w:val="FootnoteReference"/>
          <w:rFonts w:ascii="Cambria" w:hAnsi="Cambria"/>
        </w:rPr>
        <w:footnoteReference w:id="37"/>
      </w:r>
      <w:r w:rsidR="00C77479" w:rsidRPr="00234E2D">
        <w:rPr>
          <w:rFonts w:ascii="Cambria" w:hAnsi="Cambria"/>
        </w:rPr>
        <w:t xml:space="preserve"> This sustained executive practice reflects a durable constitutional understanding</w:t>
      </w:r>
      <w:r w:rsidR="00743C0C" w:rsidRPr="00234E2D">
        <w:rPr>
          <w:rFonts w:ascii="Cambria" w:hAnsi="Cambria"/>
        </w:rPr>
        <w:t xml:space="preserve">, not </w:t>
      </w:r>
      <w:r w:rsidR="00C77479" w:rsidRPr="00234E2D">
        <w:rPr>
          <w:rFonts w:ascii="Cambria" w:hAnsi="Cambria"/>
        </w:rPr>
        <w:t>episodic disagreement.</w:t>
      </w:r>
      <w:r w:rsidR="00305F0D" w:rsidRPr="00234E2D">
        <w:rPr>
          <w:rFonts w:ascii="Cambria" w:hAnsi="Cambria"/>
        </w:rPr>
        <w:t xml:space="preserve"> Across parties, regions, and decades, presidents returned to the same objection: construction and incorporation were sovereign legislative acts, not incidental means implied from enumerated powers.</w:t>
      </w:r>
      <w:r w:rsidR="003F74A7" w:rsidRPr="00234E2D">
        <w:rPr>
          <w:rStyle w:val="FootnoteReference"/>
          <w:rFonts w:ascii="Cambria" w:hAnsi="Cambria"/>
        </w:rPr>
        <w:footnoteReference w:id="38"/>
      </w:r>
    </w:p>
    <w:p w14:paraId="4F6A3990" w14:textId="77777777" w:rsidR="00A3693A" w:rsidRPr="00234E2D" w:rsidRDefault="00A3693A" w:rsidP="00A3693A">
      <w:pPr>
        <w:spacing w:after="0" w:line="240" w:lineRule="auto"/>
        <w:rPr>
          <w:rFonts w:ascii="Cambria" w:hAnsi="Cambria"/>
        </w:rPr>
      </w:pPr>
    </w:p>
    <w:p w14:paraId="260AF418" w14:textId="6D8D2E10" w:rsidR="006A6967" w:rsidRPr="00234E2D" w:rsidRDefault="00A3693A" w:rsidP="00A3693A">
      <w:pPr>
        <w:spacing w:after="0" w:line="240" w:lineRule="auto"/>
        <w:rPr>
          <w:rFonts w:ascii="Cambria" w:hAnsi="Cambria"/>
        </w:rPr>
      </w:pPr>
      <w:r w:rsidRPr="00234E2D">
        <w:rPr>
          <w:rFonts w:ascii="Cambria" w:hAnsi="Cambria"/>
        </w:rPr>
        <w:t xml:space="preserve">As his final act in office, James Madison vetoed </w:t>
      </w:r>
      <w:r w:rsidRPr="00234E2D">
        <w:rPr>
          <w:rFonts w:ascii="Cambria" w:hAnsi="Cambria"/>
          <w:i/>
          <w:iCs/>
        </w:rPr>
        <w:t>An Act to set apart and pledge certain funds for internal improvements</w:t>
      </w:r>
      <w:r w:rsidRPr="00234E2D">
        <w:rPr>
          <w:rFonts w:ascii="Cambria" w:hAnsi="Cambria"/>
        </w:rPr>
        <w:t xml:space="preserve">, explaining that the Constitution’s “definite partition of powers” excluded such authority and that </w:t>
      </w:r>
      <w:r w:rsidR="00390A3E" w:rsidRPr="00234E2D">
        <w:rPr>
          <w:rFonts w:ascii="Cambria" w:hAnsi="Cambria"/>
        </w:rPr>
        <w:t>its exercise</w:t>
      </w:r>
      <w:r w:rsidRPr="00234E2D">
        <w:rPr>
          <w:rFonts w:ascii="Cambria" w:hAnsi="Cambria"/>
        </w:rPr>
        <w:t xml:space="preserve"> would require amendment.</w:t>
      </w:r>
      <w:r w:rsidR="001A1DCE" w:rsidRPr="00234E2D">
        <w:rPr>
          <w:rStyle w:val="FootnoteReference"/>
          <w:rFonts w:ascii="Cambria" w:hAnsi="Cambria"/>
        </w:rPr>
        <w:footnoteReference w:id="39"/>
      </w:r>
      <w:r w:rsidRPr="00234E2D">
        <w:rPr>
          <w:rFonts w:ascii="Cambria" w:hAnsi="Cambria"/>
        </w:rPr>
        <w:t xml:space="preserve"> </w:t>
      </w:r>
      <w:r w:rsidR="00390A3E" w:rsidRPr="00234E2D">
        <w:rPr>
          <w:rFonts w:ascii="Cambria" w:hAnsi="Cambria"/>
        </w:rPr>
        <w:t xml:space="preserve">Writing </w:t>
      </w:r>
      <w:r w:rsidR="00814ACC" w:rsidRPr="00234E2D">
        <w:rPr>
          <w:rFonts w:ascii="Cambria" w:hAnsi="Cambria"/>
        </w:rPr>
        <w:t>to</w:t>
      </w:r>
      <w:r w:rsidR="006A6967" w:rsidRPr="00234E2D">
        <w:rPr>
          <w:rFonts w:ascii="Cambria" w:hAnsi="Cambria"/>
        </w:rPr>
        <w:t xml:space="preserve"> Albert Gallatin</w:t>
      </w:r>
      <w:r w:rsidR="00390A3E" w:rsidRPr="00234E2D">
        <w:rPr>
          <w:rFonts w:ascii="Cambria" w:hAnsi="Cambria"/>
        </w:rPr>
        <w:t xml:space="preserve"> shortly thereafter</w:t>
      </w:r>
      <w:r w:rsidR="006A6967" w:rsidRPr="00234E2D">
        <w:rPr>
          <w:rFonts w:ascii="Cambria" w:hAnsi="Cambria"/>
        </w:rPr>
        <w:t>,</w:t>
      </w:r>
      <w:r w:rsidR="00814ACC" w:rsidRPr="00234E2D">
        <w:rPr>
          <w:rFonts w:ascii="Cambria" w:hAnsi="Cambria"/>
        </w:rPr>
        <w:t xml:space="preserve"> Thomas Jefferson</w:t>
      </w:r>
      <w:r w:rsidR="00C74644" w:rsidRPr="00234E2D">
        <w:rPr>
          <w:rFonts w:ascii="Cambria" w:hAnsi="Cambria"/>
        </w:rPr>
        <w:t xml:space="preserve"> de</w:t>
      </w:r>
      <w:r w:rsidR="00390A3E" w:rsidRPr="00234E2D">
        <w:rPr>
          <w:rFonts w:ascii="Cambria" w:hAnsi="Cambria"/>
        </w:rPr>
        <w:t>scribed</w:t>
      </w:r>
      <w:r w:rsidR="00C74644" w:rsidRPr="00234E2D">
        <w:rPr>
          <w:rFonts w:ascii="Cambria" w:hAnsi="Cambria"/>
        </w:rPr>
        <w:t xml:space="preserve"> Madison’s veto </w:t>
      </w:r>
      <w:r w:rsidR="00390A3E" w:rsidRPr="00234E2D">
        <w:rPr>
          <w:rFonts w:ascii="Cambria" w:hAnsi="Cambria"/>
        </w:rPr>
        <w:t xml:space="preserve">as </w:t>
      </w:r>
      <w:r w:rsidR="00C74644" w:rsidRPr="00234E2D">
        <w:rPr>
          <w:rFonts w:ascii="Cambria" w:hAnsi="Cambria"/>
        </w:rPr>
        <w:t>a “fortunate incident</w:t>
      </w:r>
      <w:r w:rsidR="00390A3E" w:rsidRPr="00234E2D">
        <w:rPr>
          <w:rFonts w:ascii="Cambria" w:hAnsi="Cambria"/>
        </w:rPr>
        <w:t>,</w:t>
      </w:r>
      <w:r w:rsidR="00C74644" w:rsidRPr="00234E2D">
        <w:rPr>
          <w:rFonts w:ascii="Cambria" w:hAnsi="Cambria"/>
        </w:rPr>
        <w:t>”</w:t>
      </w:r>
      <w:r w:rsidR="00390A3E" w:rsidRPr="00234E2D">
        <w:rPr>
          <w:rFonts w:ascii="Cambria" w:hAnsi="Cambria"/>
        </w:rPr>
        <w:t xml:space="preserve"> reflecting approval not merely of the outcome but of the constitutional restraint it embodied.</w:t>
      </w:r>
      <w:r w:rsidR="00C74644" w:rsidRPr="00234E2D">
        <w:rPr>
          <w:rStyle w:val="FootnoteReference"/>
          <w:rFonts w:ascii="Cambria" w:hAnsi="Cambria"/>
        </w:rPr>
        <w:footnoteReference w:id="40"/>
      </w:r>
      <w:r w:rsidR="00C74644" w:rsidRPr="00234E2D">
        <w:rPr>
          <w:rFonts w:ascii="Cambria" w:hAnsi="Cambria"/>
        </w:rPr>
        <w:t xml:space="preserve"> </w:t>
      </w:r>
      <w:r w:rsidR="00814ACC" w:rsidRPr="00234E2D">
        <w:rPr>
          <w:rFonts w:ascii="Cambria" w:hAnsi="Cambria"/>
        </w:rPr>
        <w:t xml:space="preserve"> </w:t>
      </w:r>
    </w:p>
    <w:p w14:paraId="5F38BAFA" w14:textId="77777777" w:rsidR="006A6967" w:rsidRPr="00234E2D" w:rsidRDefault="006A6967" w:rsidP="00A3693A">
      <w:pPr>
        <w:spacing w:after="0" w:line="240" w:lineRule="auto"/>
        <w:rPr>
          <w:rFonts w:ascii="Cambria" w:hAnsi="Cambria"/>
        </w:rPr>
      </w:pPr>
    </w:p>
    <w:p w14:paraId="22E7C2E2" w14:textId="78867449" w:rsidR="00A3693A" w:rsidRPr="00234E2D" w:rsidRDefault="00A3693A" w:rsidP="00A3693A">
      <w:pPr>
        <w:spacing w:after="0" w:line="240" w:lineRule="auto"/>
        <w:rPr>
          <w:rFonts w:ascii="Cambria" w:hAnsi="Cambria"/>
        </w:rPr>
      </w:pPr>
      <w:r w:rsidRPr="00234E2D">
        <w:rPr>
          <w:rFonts w:ascii="Cambria" w:hAnsi="Cambria"/>
        </w:rPr>
        <w:t>James Monroe likewise rejected federal control over the Cumberland Road, warning that a power to construct, operate, and finance infrastructure implied a comprehensive system of internal improvements never granted to Congress.</w:t>
      </w:r>
      <w:r w:rsidR="001A1DCE" w:rsidRPr="00234E2D">
        <w:rPr>
          <w:rStyle w:val="FootnoteReference"/>
          <w:rFonts w:ascii="Cambria" w:hAnsi="Cambria"/>
        </w:rPr>
        <w:footnoteReference w:id="41"/>
      </w:r>
      <w:r w:rsidRPr="00234E2D">
        <w:rPr>
          <w:rFonts w:ascii="Cambria" w:hAnsi="Cambria"/>
        </w:rPr>
        <w:t xml:space="preserve"> </w:t>
      </w:r>
      <w:r w:rsidR="00EA4E05" w:rsidRPr="00234E2D">
        <w:rPr>
          <w:rFonts w:ascii="Cambria" w:hAnsi="Cambria"/>
        </w:rPr>
        <w:t xml:space="preserve">Rejecting a power to incorporate, </w:t>
      </w:r>
      <w:r w:rsidRPr="00234E2D">
        <w:rPr>
          <w:rFonts w:ascii="Cambria" w:hAnsi="Cambria"/>
        </w:rPr>
        <w:t>Andrew Jackson</w:t>
      </w:r>
      <w:r w:rsidR="00EA4E05" w:rsidRPr="00234E2D">
        <w:rPr>
          <w:rFonts w:ascii="Cambria" w:hAnsi="Cambria"/>
        </w:rPr>
        <w:t xml:space="preserve"> famously vetoed the recharter of the Second Bank of the United States in 1832.</w:t>
      </w:r>
      <w:r w:rsidR="00EA4E05" w:rsidRPr="00234E2D">
        <w:rPr>
          <w:rStyle w:val="FootnoteReference"/>
          <w:rFonts w:ascii="Cambria" w:hAnsi="Cambria"/>
        </w:rPr>
        <w:footnoteReference w:id="42"/>
      </w:r>
      <w:r w:rsidR="00EA4E05" w:rsidRPr="00234E2D">
        <w:rPr>
          <w:rFonts w:ascii="Cambria" w:hAnsi="Cambria"/>
        </w:rPr>
        <w:t xml:space="preserve"> I</w:t>
      </w:r>
      <w:r w:rsidRPr="00234E2D">
        <w:rPr>
          <w:rFonts w:ascii="Cambria" w:hAnsi="Cambria"/>
        </w:rPr>
        <w:t xml:space="preserve">n the last of six infrastructure-related vetoes, </w:t>
      </w:r>
      <w:r w:rsidR="002F6BF5" w:rsidRPr="00234E2D">
        <w:rPr>
          <w:rFonts w:ascii="Cambria" w:hAnsi="Cambria"/>
        </w:rPr>
        <w:t xml:space="preserve">he </w:t>
      </w:r>
      <w:r w:rsidRPr="00234E2D">
        <w:rPr>
          <w:rFonts w:ascii="Cambria" w:hAnsi="Cambria"/>
        </w:rPr>
        <w:t>cautioned that mingling federal authority with local concerns would undermine the federal system by encouraging improvidence, disguising costs, and consolidating power in the national government.</w:t>
      </w:r>
      <w:r w:rsidR="001A1DCE" w:rsidRPr="00234E2D">
        <w:rPr>
          <w:rStyle w:val="FootnoteReference"/>
          <w:rFonts w:ascii="Cambria" w:hAnsi="Cambria"/>
        </w:rPr>
        <w:footnoteReference w:id="43"/>
      </w:r>
    </w:p>
    <w:p w14:paraId="274041DC" w14:textId="77777777" w:rsidR="00A3693A" w:rsidRPr="00234E2D" w:rsidRDefault="00A3693A" w:rsidP="00A3693A">
      <w:pPr>
        <w:spacing w:after="0" w:line="240" w:lineRule="auto"/>
        <w:rPr>
          <w:rFonts w:ascii="Cambria" w:hAnsi="Cambria"/>
        </w:rPr>
      </w:pPr>
    </w:p>
    <w:p w14:paraId="7C86664C" w14:textId="48931AF2" w:rsidR="003E2BAE" w:rsidRPr="00234E2D" w:rsidRDefault="00A3693A" w:rsidP="00A3693A">
      <w:pPr>
        <w:spacing w:after="0" w:line="240" w:lineRule="auto"/>
        <w:rPr>
          <w:rFonts w:ascii="Cambria" w:hAnsi="Cambria"/>
        </w:rPr>
      </w:pPr>
      <w:r w:rsidRPr="00234E2D">
        <w:rPr>
          <w:rFonts w:ascii="Cambria" w:hAnsi="Cambria"/>
        </w:rPr>
        <w:t xml:space="preserve">John Tyler </w:t>
      </w:r>
      <w:r w:rsidR="002F6BF5" w:rsidRPr="00234E2D">
        <w:rPr>
          <w:rFonts w:ascii="Cambria" w:hAnsi="Cambria"/>
        </w:rPr>
        <w:t>vetoed two differently structured national bank bills</w:t>
      </w:r>
      <w:r w:rsidR="00EA75A6" w:rsidRPr="00234E2D">
        <w:rPr>
          <w:rFonts w:ascii="Cambria" w:hAnsi="Cambria"/>
        </w:rPr>
        <w:t xml:space="preserve"> in 1841</w:t>
      </w:r>
      <w:r w:rsidR="002F6BF5" w:rsidRPr="00234E2D">
        <w:rPr>
          <w:rFonts w:ascii="Cambria" w:hAnsi="Cambria"/>
        </w:rPr>
        <w:t>, arguing Congress lacked authority to charter such a corporation and</w:t>
      </w:r>
      <w:r w:rsidR="00EA75A6" w:rsidRPr="00234E2D">
        <w:rPr>
          <w:rFonts w:ascii="Cambria" w:hAnsi="Cambria"/>
        </w:rPr>
        <w:t xml:space="preserve"> that</w:t>
      </w:r>
      <w:r w:rsidR="002F6BF5" w:rsidRPr="00234E2D">
        <w:rPr>
          <w:rFonts w:ascii="Cambria" w:hAnsi="Cambria"/>
        </w:rPr>
        <w:t xml:space="preserve"> a national bank would distort federal-state balance.</w:t>
      </w:r>
      <w:r w:rsidR="002F6BF5" w:rsidRPr="00234E2D">
        <w:rPr>
          <w:rStyle w:val="FootnoteReference"/>
          <w:rFonts w:ascii="Cambria" w:hAnsi="Cambria"/>
        </w:rPr>
        <w:footnoteReference w:id="44"/>
      </w:r>
      <w:r w:rsidR="002F6BF5" w:rsidRPr="00234E2D">
        <w:rPr>
          <w:rFonts w:ascii="Cambria" w:hAnsi="Cambria"/>
        </w:rPr>
        <w:t xml:space="preserve"> </w:t>
      </w:r>
      <w:r w:rsidR="00EA75A6" w:rsidRPr="00234E2D">
        <w:rPr>
          <w:rFonts w:ascii="Cambria" w:hAnsi="Cambria"/>
        </w:rPr>
        <w:t xml:space="preserve">He subsequently </w:t>
      </w:r>
      <w:r w:rsidRPr="00234E2D">
        <w:rPr>
          <w:rFonts w:ascii="Cambria" w:hAnsi="Cambria"/>
        </w:rPr>
        <w:t xml:space="preserve">reinforced </w:t>
      </w:r>
      <w:r w:rsidR="00EA75A6" w:rsidRPr="00234E2D">
        <w:rPr>
          <w:rFonts w:ascii="Cambria" w:hAnsi="Cambria"/>
        </w:rPr>
        <w:t xml:space="preserve">his </w:t>
      </w:r>
      <w:r w:rsidRPr="00234E2D">
        <w:rPr>
          <w:rFonts w:ascii="Cambria" w:hAnsi="Cambria"/>
        </w:rPr>
        <w:t xml:space="preserve">understanding </w:t>
      </w:r>
      <w:r w:rsidR="00EA75A6" w:rsidRPr="00234E2D">
        <w:rPr>
          <w:rFonts w:ascii="Cambria" w:hAnsi="Cambria"/>
        </w:rPr>
        <w:t>of enumerated powers with</w:t>
      </w:r>
      <w:r w:rsidRPr="00234E2D">
        <w:rPr>
          <w:rFonts w:ascii="Cambria" w:hAnsi="Cambria"/>
        </w:rPr>
        <w:t xml:space="preserve"> two vetoes of rivers-and-harbors bills that funded interior projects serving predominantly local interests. Tyler emphasized the risks of favoritism, speculation, and abuse inherent in </w:t>
      </w:r>
      <w:r w:rsidR="00743C0C" w:rsidRPr="00234E2D">
        <w:rPr>
          <w:rFonts w:ascii="Cambria" w:hAnsi="Cambria"/>
        </w:rPr>
        <w:t xml:space="preserve">taxing </w:t>
      </w:r>
      <w:r w:rsidRPr="00234E2D">
        <w:rPr>
          <w:rFonts w:ascii="Cambria" w:hAnsi="Cambria"/>
        </w:rPr>
        <w:t>the many to benefit the few, warning that such measures invited sectional bargaining and corruption.</w:t>
      </w:r>
      <w:r w:rsidR="001A1DCE" w:rsidRPr="00234E2D">
        <w:rPr>
          <w:rStyle w:val="FootnoteReference"/>
          <w:rFonts w:ascii="Cambria" w:hAnsi="Cambria"/>
        </w:rPr>
        <w:footnoteReference w:id="45"/>
      </w:r>
      <w:r w:rsidRPr="00234E2D">
        <w:rPr>
          <w:rFonts w:ascii="Cambria" w:hAnsi="Cambria"/>
        </w:rPr>
        <w:t xml:space="preserve"> </w:t>
      </w:r>
    </w:p>
    <w:p w14:paraId="26E4F479" w14:textId="77777777" w:rsidR="003E2BAE" w:rsidRPr="00234E2D" w:rsidRDefault="003E2BAE" w:rsidP="00A3693A">
      <w:pPr>
        <w:spacing w:after="0" w:line="240" w:lineRule="auto"/>
        <w:rPr>
          <w:rFonts w:ascii="Cambria" w:hAnsi="Cambria"/>
        </w:rPr>
      </w:pPr>
    </w:p>
    <w:p w14:paraId="1C96D57C" w14:textId="4B0F5962" w:rsidR="00E80487" w:rsidRPr="00234E2D" w:rsidRDefault="00A3693A" w:rsidP="00A3693A">
      <w:pPr>
        <w:spacing w:after="0" w:line="240" w:lineRule="auto"/>
        <w:rPr>
          <w:rFonts w:ascii="Cambria" w:hAnsi="Cambria"/>
        </w:rPr>
      </w:pPr>
      <w:r w:rsidRPr="00234E2D">
        <w:rPr>
          <w:rFonts w:ascii="Cambria" w:hAnsi="Cambria"/>
        </w:rPr>
        <w:t xml:space="preserve">James K. Polk offered the most systematic critique, rejecting the claim that the Commerce Clause authorized construction rather than regulation and cautioning that such a doctrine would produce a </w:t>
      </w:r>
      <w:r w:rsidRPr="00234E2D">
        <w:rPr>
          <w:rFonts w:ascii="Cambria" w:hAnsi="Cambria"/>
        </w:rPr>
        <w:lastRenderedPageBreak/>
        <w:t>“disreputable scramble for the public money,” driven by sectional combinations extracting benefits from the national treasury.</w:t>
      </w:r>
      <w:r w:rsidR="001A1DCE" w:rsidRPr="00234E2D">
        <w:rPr>
          <w:rStyle w:val="FootnoteReference"/>
          <w:rFonts w:ascii="Cambria" w:hAnsi="Cambria"/>
        </w:rPr>
        <w:footnoteReference w:id="46"/>
      </w:r>
      <w:r w:rsidR="00EF2723" w:rsidRPr="00234E2D">
        <w:rPr>
          <w:rFonts w:ascii="Cambria" w:hAnsi="Cambria"/>
        </w:rPr>
        <w:t xml:space="preserve"> </w:t>
      </w:r>
    </w:p>
    <w:p w14:paraId="04FA3DDB" w14:textId="77777777" w:rsidR="00D923A9" w:rsidRPr="00234E2D" w:rsidRDefault="00D923A9" w:rsidP="00A3693A">
      <w:pPr>
        <w:spacing w:after="0" w:line="240" w:lineRule="auto"/>
        <w:rPr>
          <w:rFonts w:ascii="Cambria" w:hAnsi="Cambria"/>
        </w:rPr>
      </w:pPr>
    </w:p>
    <w:p w14:paraId="1CFB4952" w14:textId="6C63510B" w:rsidR="00C40E84" w:rsidRPr="00234E2D" w:rsidRDefault="00F55BD2" w:rsidP="00A3693A">
      <w:pPr>
        <w:spacing w:after="0" w:line="240" w:lineRule="auto"/>
        <w:rPr>
          <w:rFonts w:ascii="Cambria" w:hAnsi="Cambria"/>
        </w:rPr>
      </w:pPr>
      <w:r w:rsidRPr="00234E2D">
        <w:rPr>
          <w:rFonts w:ascii="Cambria" w:hAnsi="Cambria"/>
        </w:rPr>
        <w:t>Responding to President Polk’s second veto of an internal-improvements bill, single-term Representative Abraham Lincoln delivered an extended speech arguing for the benefits of internal improvements of a national character</w:t>
      </w:r>
      <w:r w:rsidR="00C77479" w:rsidRPr="00234E2D">
        <w:rPr>
          <w:rFonts w:ascii="Cambria" w:hAnsi="Cambria"/>
        </w:rPr>
        <w:t xml:space="preserve"> and, in</w:t>
      </w:r>
      <w:r w:rsidRPr="00234E2D">
        <w:rPr>
          <w:rFonts w:ascii="Cambria" w:hAnsi="Cambria"/>
        </w:rPr>
        <w:t xml:space="preserve"> doing so, cited Thomas Jefferson’s 1806 suggestion that a constitutional amendment empowering Congress to fund such projects might be considered.</w:t>
      </w:r>
      <w:r w:rsidR="00803645" w:rsidRPr="00234E2D">
        <w:rPr>
          <w:rStyle w:val="FootnoteReference"/>
          <w:rFonts w:ascii="Cambria" w:hAnsi="Cambria"/>
        </w:rPr>
        <w:footnoteReference w:id="47"/>
      </w:r>
    </w:p>
    <w:p w14:paraId="03F2524E" w14:textId="77777777" w:rsidR="00A3693A" w:rsidRPr="00234E2D" w:rsidRDefault="00A3693A" w:rsidP="00A3693A">
      <w:pPr>
        <w:spacing w:after="0" w:line="240" w:lineRule="auto"/>
        <w:rPr>
          <w:rFonts w:ascii="Cambria" w:hAnsi="Cambria"/>
        </w:rPr>
      </w:pPr>
    </w:p>
    <w:p w14:paraId="1981D6B0" w14:textId="5FC83E37" w:rsidR="00A3693A" w:rsidRPr="00234E2D" w:rsidRDefault="00A3693A" w:rsidP="00A3693A">
      <w:pPr>
        <w:spacing w:after="0" w:line="240" w:lineRule="auto"/>
        <w:rPr>
          <w:rFonts w:ascii="Cambria" w:hAnsi="Cambria"/>
        </w:rPr>
      </w:pPr>
      <w:r w:rsidRPr="00234E2D">
        <w:rPr>
          <w:rFonts w:ascii="Cambria" w:hAnsi="Cambria"/>
        </w:rPr>
        <w:t>Franklin Pierce vetoed s</w:t>
      </w:r>
      <w:r w:rsidR="00F72C9C" w:rsidRPr="00234E2D">
        <w:rPr>
          <w:rFonts w:ascii="Cambria" w:hAnsi="Cambria"/>
        </w:rPr>
        <w:t>ix</w:t>
      </w:r>
      <w:r w:rsidRPr="00234E2D">
        <w:rPr>
          <w:rFonts w:ascii="Cambria" w:hAnsi="Cambria"/>
        </w:rPr>
        <w:t xml:space="preserve"> infrastructure-related bills, repeatedly reiterating that a general system of internal improvements was unconstitutional and destructive of the proper balance between the Union and the States.</w:t>
      </w:r>
      <w:r w:rsidR="001A1DCE" w:rsidRPr="00234E2D">
        <w:rPr>
          <w:rStyle w:val="FootnoteReference"/>
          <w:rFonts w:ascii="Cambria" w:hAnsi="Cambria"/>
        </w:rPr>
        <w:footnoteReference w:id="48"/>
      </w:r>
      <w:r w:rsidRPr="00234E2D">
        <w:rPr>
          <w:rFonts w:ascii="Cambria" w:hAnsi="Cambria"/>
        </w:rPr>
        <w:t xml:space="preserve"> Th</w:t>
      </w:r>
      <w:r w:rsidR="00BE285B" w:rsidRPr="00234E2D">
        <w:rPr>
          <w:rFonts w:ascii="Cambria" w:hAnsi="Cambria"/>
        </w:rPr>
        <w:t>e last</w:t>
      </w:r>
      <w:r w:rsidRPr="00234E2D">
        <w:rPr>
          <w:rFonts w:ascii="Cambria" w:hAnsi="Cambria"/>
        </w:rPr>
        <w:t xml:space="preserve"> five of Pierce’s s</w:t>
      </w:r>
      <w:r w:rsidR="00F72C9C" w:rsidRPr="00234E2D">
        <w:rPr>
          <w:rFonts w:ascii="Cambria" w:hAnsi="Cambria"/>
        </w:rPr>
        <w:t>ix</w:t>
      </w:r>
      <w:r w:rsidRPr="00234E2D">
        <w:rPr>
          <w:rFonts w:ascii="Cambria" w:hAnsi="Cambria"/>
        </w:rPr>
        <w:t xml:space="preserve"> vetoes were overridden by Congress </w:t>
      </w:r>
      <w:r w:rsidR="00A0754F" w:rsidRPr="00234E2D">
        <w:rPr>
          <w:rFonts w:ascii="Cambria" w:hAnsi="Cambria"/>
        </w:rPr>
        <w:t>in 1</w:t>
      </w:r>
      <w:r w:rsidR="00BE285B" w:rsidRPr="00234E2D">
        <w:rPr>
          <w:rFonts w:ascii="Cambria" w:hAnsi="Cambria"/>
        </w:rPr>
        <w:t>856</w:t>
      </w:r>
      <w:r w:rsidR="003E2BAE" w:rsidRPr="00234E2D">
        <w:rPr>
          <w:rFonts w:ascii="Cambria" w:hAnsi="Cambria"/>
        </w:rPr>
        <w:t>, marking a shift from constitutional restraint toward legislative insistence</w:t>
      </w:r>
      <w:r w:rsidR="00BE285B" w:rsidRPr="00234E2D">
        <w:rPr>
          <w:rFonts w:ascii="Cambria" w:hAnsi="Cambria"/>
        </w:rPr>
        <w:t>.</w:t>
      </w:r>
      <w:r w:rsidR="00BE285B" w:rsidRPr="00234E2D">
        <w:rPr>
          <w:rStyle w:val="FootnoteReference"/>
          <w:rFonts w:ascii="Cambria" w:hAnsi="Cambria"/>
        </w:rPr>
        <w:footnoteReference w:id="49"/>
      </w:r>
      <w:r w:rsidR="00BE285B" w:rsidRPr="00234E2D">
        <w:rPr>
          <w:rFonts w:ascii="Cambria" w:hAnsi="Cambria"/>
        </w:rPr>
        <w:t xml:space="preserve">  </w:t>
      </w:r>
      <w:r w:rsidR="00A0754F" w:rsidRPr="00234E2D">
        <w:rPr>
          <w:rFonts w:ascii="Cambria" w:hAnsi="Cambria"/>
        </w:rPr>
        <w:t xml:space="preserve"> </w:t>
      </w:r>
      <w:r w:rsidRPr="00234E2D">
        <w:rPr>
          <w:rFonts w:ascii="Cambria" w:hAnsi="Cambria"/>
        </w:rPr>
        <w:t>James Buchanan, focusing on the Commerce Clause, rejected the notion that the power to “regulate” commerce could be transformed into a creative or constructive power, warning that such reasoning confounded words of settled meaning.</w:t>
      </w:r>
      <w:r w:rsidR="00A0754F" w:rsidRPr="00234E2D">
        <w:rPr>
          <w:rStyle w:val="FootnoteReference"/>
          <w:rFonts w:ascii="Cambria" w:hAnsi="Cambria"/>
        </w:rPr>
        <w:footnoteReference w:id="50"/>
      </w:r>
    </w:p>
    <w:p w14:paraId="61E3EA73" w14:textId="77777777" w:rsidR="00D0082C" w:rsidRPr="00234E2D" w:rsidRDefault="00D0082C" w:rsidP="00A3693A">
      <w:pPr>
        <w:spacing w:after="0" w:line="240" w:lineRule="auto"/>
        <w:rPr>
          <w:rFonts w:ascii="Cambria" w:hAnsi="Cambria"/>
        </w:rPr>
      </w:pPr>
    </w:p>
    <w:p w14:paraId="24ADBA00" w14:textId="22323F3D" w:rsidR="00D0082C" w:rsidRPr="00234E2D" w:rsidRDefault="00D0082C" w:rsidP="00A3693A">
      <w:pPr>
        <w:spacing w:after="0" w:line="240" w:lineRule="auto"/>
        <w:rPr>
          <w:rFonts w:ascii="Cambria" w:hAnsi="Cambria"/>
        </w:rPr>
      </w:pPr>
      <w:r w:rsidRPr="00234E2D">
        <w:rPr>
          <w:rFonts w:ascii="Cambria" w:hAnsi="Cambria"/>
        </w:rPr>
        <w:t>The brief life of the Bankruptcy Act of 1841 supplies a revealing counterpoint. Bankruptcy was among the few economic powers expressly enumerated in Article I, yet when Congress invoked it expansively</w:t>
      </w:r>
      <w:r w:rsidRPr="00234E2D">
        <w:rPr>
          <w:rFonts w:ascii="Cambria" w:hAnsi="Cambria"/>
        </w:rPr>
        <w:t xml:space="preserve"> - </w:t>
      </w:r>
      <w:r w:rsidRPr="00234E2D">
        <w:rPr>
          <w:rFonts w:ascii="Cambria" w:hAnsi="Cambria"/>
        </w:rPr>
        <w:t>permitting voluntary discharge of speculative debts following the Panic of 1837</w:t>
      </w:r>
      <w:r w:rsidRPr="00234E2D">
        <w:rPr>
          <w:rFonts w:ascii="Cambria" w:hAnsi="Cambria"/>
        </w:rPr>
        <w:t xml:space="preserve"> - </w:t>
      </w:r>
      <w:r w:rsidRPr="00234E2D">
        <w:rPr>
          <w:rFonts w:ascii="Cambria" w:hAnsi="Cambria"/>
        </w:rPr>
        <w:t>it provoked immediate constitutional and political resistance. Critics condemned the Act as rewarding improvidence and separating</w:t>
      </w:r>
      <w:r w:rsidR="00EF797B" w:rsidRPr="00234E2D">
        <w:rPr>
          <w:rFonts w:ascii="Cambria" w:hAnsi="Cambria"/>
        </w:rPr>
        <w:t xml:space="preserve"> </w:t>
      </w:r>
      <w:r w:rsidRPr="00234E2D">
        <w:rPr>
          <w:rFonts w:ascii="Cambria" w:hAnsi="Cambria"/>
        </w:rPr>
        <w:t>gain from loss; defenders justified it as a temporary expedient</w:t>
      </w:r>
      <w:r w:rsidR="001A2173" w:rsidRPr="00234E2D">
        <w:rPr>
          <w:rFonts w:ascii="Cambria" w:hAnsi="Cambria"/>
        </w:rPr>
        <w:t xml:space="preserve"> to restore commercial confidence</w:t>
      </w:r>
      <w:r w:rsidRPr="00234E2D">
        <w:rPr>
          <w:rFonts w:ascii="Cambria" w:hAnsi="Cambria"/>
        </w:rPr>
        <w:t>. Its repeal within eighteen months confirms that even enumerated powers were understood as constrained tools, not open-ended licenses to absorb the consequences of failed speculation</w:t>
      </w:r>
      <w:r w:rsidRPr="00234E2D">
        <w:rPr>
          <w:rFonts w:ascii="Cambria" w:hAnsi="Cambria"/>
        </w:rPr>
        <w:t xml:space="preserve"> - </w:t>
      </w:r>
      <w:r w:rsidRPr="00234E2D">
        <w:rPr>
          <w:rFonts w:ascii="Cambria" w:hAnsi="Cambria"/>
        </w:rPr>
        <w:t>a pattern that anticipates the moral-hazard dynamic examined in Part IX.</w:t>
      </w:r>
      <w:r w:rsidRPr="00234E2D">
        <w:rPr>
          <w:rStyle w:val="FootnoteReference"/>
          <w:rFonts w:ascii="Cambria" w:hAnsi="Cambria"/>
        </w:rPr>
        <w:footnoteReference w:id="51"/>
      </w:r>
    </w:p>
    <w:p w14:paraId="50466A3B" w14:textId="77777777" w:rsidR="00A3693A" w:rsidRPr="00234E2D" w:rsidRDefault="00A3693A" w:rsidP="00A3693A">
      <w:pPr>
        <w:spacing w:after="0" w:line="240" w:lineRule="auto"/>
        <w:rPr>
          <w:rFonts w:ascii="Cambria" w:hAnsi="Cambria"/>
        </w:rPr>
      </w:pPr>
    </w:p>
    <w:p w14:paraId="46B5347A" w14:textId="38A77EEF" w:rsidR="00A3693A" w:rsidRPr="00234E2D" w:rsidRDefault="0085717A" w:rsidP="00A3693A">
      <w:pPr>
        <w:spacing w:after="0" w:line="240" w:lineRule="auto"/>
        <w:rPr>
          <w:rFonts w:ascii="Cambria" w:eastAsia="Times New Roman" w:hAnsi="Cambria" w:cs="Segoe UI"/>
          <w:color w:val="0D0D0D"/>
          <w:kern w:val="0"/>
          <w14:ligatures w14:val="none"/>
        </w:rPr>
      </w:pPr>
      <w:r w:rsidRPr="00234E2D">
        <w:rPr>
          <w:rFonts w:ascii="Cambria" w:eastAsia="Times New Roman" w:hAnsi="Cambria" w:cs="Segoe UI"/>
          <w:color w:val="0D0D0D"/>
          <w:kern w:val="0"/>
          <w14:ligatures w14:val="none"/>
        </w:rPr>
        <w:t>These disputes were reflected in party doctrine</w:t>
      </w:r>
      <w:r w:rsidR="00A3693A" w:rsidRPr="00234E2D">
        <w:rPr>
          <w:rFonts w:ascii="Cambria" w:eastAsia="Times New Roman" w:hAnsi="Cambria" w:cs="Segoe UI"/>
          <w:color w:val="0D0D0D"/>
          <w:kern w:val="0"/>
          <w14:ligatures w14:val="none"/>
        </w:rPr>
        <w:t xml:space="preserve">. Democratic campaign platforms from 1840 to 1860 consistently denied federal authority over internal improvements, while Whig and </w:t>
      </w:r>
      <w:r w:rsidRPr="00234E2D">
        <w:rPr>
          <w:rFonts w:ascii="Cambria" w:eastAsia="Times New Roman" w:hAnsi="Cambria" w:cs="Segoe UI"/>
          <w:color w:val="0D0D0D"/>
          <w:kern w:val="0"/>
          <w14:ligatures w14:val="none"/>
        </w:rPr>
        <w:t>later</w:t>
      </w:r>
      <w:r w:rsidR="00EF42A3" w:rsidRPr="00234E2D">
        <w:rPr>
          <w:rFonts w:ascii="Cambria" w:eastAsia="Times New Roman" w:hAnsi="Cambria" w:cs="Segoe UI"/>
          <w:color w:val="0D0D0D"/>
          <w:kern w:val="0"/>
          <w14:ligatures w14:val="none"/>
        </w:rPr>
        <w:t xml:space="preserve"> </w:t>
      </w:r>
      <w:r w:rsidR="00A3693A" w:rsidRPr="00234E2D">
        <w:rPr>
          <w:rFonts w:ascii="Cambria" w:eastAsia="Times New Roman" w:hAnsi="Cambria" w:cs="Segoe UI"/>
          <w:color w:val="0D0D0D"/>
          <w:kern w:val="0"/>
          <w14:ligatures w14:val="none"/>
        </w:rPr>
        <w:t>Republican platforms advanced a competing theory that improvements of a “national character” were constitutionally permissible.</w:t>
      </w:r>
      <w:r w:rsidR="0057060B" w:rsidRPr="00234E2D">
        <w:rPr>
          <w:rStyle w:val="FootnoteReference"/>
          <w:rFonts w:ascii="Cambria" w:eastAsia="Times New Roman" w:hAnsi="Cambria" w:cs="Segoe UI"/>
          <w:color w:val="0D0D0D"/>
          <w:kern w:val="0"/>
          <w14:ligatures w14:val="none"/>
        </w:rPr>
        <w:footnoteReference w:id="52"/>
      </w:r>
      <w:r w:rsidR="00A3693A" w:rsidRPr="00234E2D">
        <w:rPr>
          <w:rFonts w:ascii="Cambria" w:eastAsia="Times New Roman" w:hAnsi="Cambria" w:cs="Segoe UI"/>
          <w:color w:val="0D0D0D"/>
          <w:kern w:val="0"/>
          <w14:ligatures w14:val="none"/>
        </w:rPr>
        <w:t xml:space="preserve"> </w:t>
      </w:r>
    </w:p>
    <w:p w14:paraId="695A7DE7" w14:textId="77777777" w:rsidR="00EF42A3" w:rsidRPr="00234E2D" w:rsidRDefault="00EF42A3" w:rsidP="00A3693A">
      <w:pPr>
        <w:spacing w:after="0" w:line="240" w:lineRule="auto"/>
        <w:rPr>
          <w:rFonts w:ascii="Cambria" w:hAnsi="Cambria"/>
        </w:rPr>
      </w:pPr>
    </w:p>
    <w:p w14:paraId="542532A9" w14:textId="48F4B06D" w:rsidR="00A3693A" w:rsidRPr="00234E2D" w:rsidRDefault="00A3693A" w:rsidP="00A3693A">
      <w:pPr>
        <w:spacing w:after="0" w:line="240" w:lineRule="auto"/>
        <w:rPr>
          <w:rFonts w:ascii="Cambria" w:hAnsi="Cambria"/>
        </w:rPr>
      </w:pPr>
      <w:r w:rsidRPr="00234E2D">
        <w:rPr>
          <w:rFonts w:ascii="Cambria" w:hAnsi="Cambria"/>
        </w:rPr>
        <w:t>In 1861, the Confederate Constitution</w:t>
      </w:r>
      <w:r w:rsidR="00EF42A3" w:rsidRPr="00234E2D">
        <w:rPr>
          <w:rFonts w:ascii="Cambria" w:hAnsi="Cambria"/>
        </w:rPr>
        <w:t xml:space="preserve"> responded to decades of controversy by textually clarifying limits that had been contested under the United States Constitution</w:t>
      </w:r>
      <w:r w:rsidR="00C6549F" w:rsidRPr="00234E2D">
        <w:rPr>
          <w:rFonts w:ascii="Cambria" w:hAnsi="Cambria"/>
        </w:rPr>
        <w:t>, adding express prohibitions on federal internal-improvement funding under both the Tax and Spending Clause and the Commerce Clause</w:t>
      </w:r>
      <w:r w:rsidRPr="00234E2D">
        <w:rPr>
          <w:rFonts w:ascii="Cambria" w:hAnsi="Cambria"/>
        </w:rPr>
        <w:t>.</w:t>
      </w:r>
      <w:r w:rsidR="00E60DAF" w:rsidRPr="00234E2D">
        <w:rPr>
          <w:rStyle w:val="FootnoteReference"/>
          <w:rFonts w:ascii="Cambria" w:hAnsi="Cambria"/>
        </w:rPr>
        <w:footnoteReference w:id="53"/>
      </w:r>
      <w:r w:rsidRPr="00234E2D">
        <w:rPr>
          <w:rFonts w:ascii="Cambria" w:hAnsi="Cambria"/>
        </w:rPr>
        <w:t xml:space="preserve"> </w:t>
      </w:r>
      <w:r w:rsidR="00C6549F" w:rsidRPr="00234E2D">
        <w:rPr>
          <w:rFonts w:ascii="Cambria" w:hAnsi="Cambria"/>
        </w:rPr>
        <w:t xml:space="preserve">Contemporary observers understood these amendments as curing ambiguity produced by implication rather than silence. </w:t>
      </w:r>
      <w:r w:rsidRPr="00234E2D">
        <w:rPr>
          <w:rFonts w:ascii="Cambria" w:hAnsi="Cambria"/>
        </w:rPr>
        <w:t>In 1866, British Parliamentarian Lord John Acton observed that the Confederate Constitution sought to remedy “defects and abuses of principle” that had emerged in the American system.</w:t>
      </w:r>
      <w:r w:rsidR="00E60DAF" w:rsidRPr="00234E2D">
        <w:rPr>
          <w:rStyle w:val="FootnoteReference"/>
          <w:rFonts w:ascii="Cambria" w:hAnsi="Cambria"/>
        </w:rPr>
        <w:footnoteReference w:id="54"/>
      </w:r>
      <w:r w:rsidRPr="00234E2D">
        <w:rPr>
          <w:rFonts w:ascii="Cambria" w:hAnsi="Cambria"/>
        </w:rPr>
        <w:t xml:space="preserve"> Responding to Acton, Robert E. Lee echoed Thomas Jefferson’s earlier warning against a “boundless field of power,” cautioning that consolidation of the States into “one vast republic” risked becoming “aggressive abroad and despotic at home.”</w:t>
      </w:r>
      <w:r w:rsidR="00E60DAF" w:rsidRPr="00234E2D">
        <w:rPr>
          <w:rStyle w:val="FootnoteReference"/>
          <w:rFonts w:ascii="Cambria" w:hAnsi="Cambria"/>
        </w:rPr>
        <w:footnoteReference w:id="55"/>
      </w:r>
    </w:p>
    <w:p w14:paraId="35A2187A" w14:textId="77777777" w:rsidR="006704CA" w:rsidRPr="00234E2D" w:rsidRDefault="006704CA" w:rsidP="006704CA">
      <w:pPr>
        <w:spacing w:after="0" w:line="240" w:lineRule="auto"/>
        <w:rPr>
          <w:rFonts w:ascii="Cambria" w:hAnsi="Cambria"/>
        </w:rPr>
      </w:pPr>
    </w:p>
    <w:p w14:paraId="4CEB5C3C" w14:textId="3961AAB7" w:rsidR="00C93FF4" w:rsidRPr="00234E2D" w:rsidRDefault="00C1023F" w:rsidP="00C93FF4">
      <w:pPr>
        <w:spacing w:after="0" w:line="240" w:lineRule="auto"/>
        <w:rPr>
          <w:rFonts w:ascii="Cambria" w:hAnsi="Cambria"/>
          <w:b/>
          <w:bCs/>
        </w:rPr>
      </w:pPr>
      <w:r w:rsidRPr="00234E2D">
        <w:rPr>
          <w:rFonts w:ascii="Cambria" w:hAnsi="Cambria"/>
          <w:b/>
          <w:bCs/>
        </w:rPr>
        <w:t xml:space="preserve">VIII. </w:t>
      </w:r>
      <w:r w:rsidRPr="00234E2D">
        <w:rPr>
          <w:rFonts w:ascii="Cambria" w:hAnsi="Cambria"/>
          <w:b/>
          <w:bCs/>
          <w:i/>
          <w:iCs/>
        </w:rPr>
        <w:t>Wilson v. Shaw</w:t>
      </w:r>
      <w:r w:rsidRPr="00234E2D">
        <w:rPr>
          <w:rFonts w:ascii="Cambria" w:hAnsi="Cambria"/>
          <w:b/>
          <w:bCs/>
        </w:rPr>
        <w:t xml:space="preserve"> and Judicial Ratification</w:t>
      </w:r>
    </w:p>
    <w:p w14:paraId="1A7ECCAC" w14:textId="2316F1D9" w:rsidR="00403535" w:rsidRPr="00234E2D" w:rsidRDefault="00C6549F" w:rsidP="004166FF">
      <w:pPr>
        <w:pStyle w:val="NormalWeb"/>
        <w:kinsoku w:val="0"/>
        <w:overflowPunct w:val="0"/>
        <w:spacing w:after="0" w:line="240" w:lineRule="auto"/>
        <w:textAlignment w:val="baseline"/>
        <w:rPr>
          <w:rFonts w:ascii="Cambria" w:eastAsiaTheme="minorEastAsia" w:hAnsi="Cambria" w:cs="Arial"/>
          <w:color w:val="000000" w:themeColor="text1"/>
          <w:kern w:val="24"/>
          <w14:ligatures w14:val="none"/>
        </w:rPr>
      </w:pPr>
      <w:r w:rsidRPr="00234E2D">
        <w:rPr>
          <w:rFonts w:ascii="Cambria" w:hAnsi="Cambria"/>
        </w:rPr>
        <w:t>During and a</w:t>
      </w:r>
      <w:r w:rsidR="00403535" w:rsidRPr="00234E2D">
        <w:rPr>
          <w:rFonts w:ascii="Cambria" w:hAnsi="Cambria"/>
        </w:rPr>
        <w:t>fter the war, this political commitment was reinforced institutionally</w:t>
      </w:r>
      <w:r w:rsidR="006D7B03" w:rsidRPr="00234E2D">
        <w:rPr>
          <w:rFonts w:ascii="Cambria" w:hAnsi="Cambria"/>
        </w:rPr>
        <w:t xml:space="preserve"> as R</w:t>
      </w:r>
      <w:r w:rsidR="00403535" w:rsidRPr="00234E2D">
        <w:rPr>
          <w:rFonts w:ascii="Cambria" w:hAnsi="Cambria"/>
        </w:rPr>
        <w:t>epublican dominance in national politics reshaped the federal judiciary</w:t>
      </w:r>
      <w:r w:rsidR="006D7B03" w:rsidRPr="00234E2D">
        <w:rPr>
          <w:rFonts w:ascii="Cambria" w:hAnsi="Cambria"/>
        </w:rPr>
        <w:t xml:space="preserve">. Rather than </w:t>
      </w:r>
      <w:r w:rsidR="006D7B03" w:rsidRPr="00234E2D">
        <w:rPr>
          <w:rFonts w:ascii="Cambria" w:hAnsi="Cambria"/>
          <w:i/>
          <w:iCs/>
        </w:rPr>
        <w:t>regulate</w:t>
      </w:r>
      <w:r w:rsidR="006D7B03" w:rsidRPr="00234E2D">
        <w:rPr>
          <w:rFonts w:ascii="Cambria" w:hAnsi="Cambria"/>
        </w:rPr>
        <w:t xml:space="preserve"> interstate commerce, the Commerce Clause was reinterpreted so that Congress might </w:t>
      </w:r>
      <w:r w:rsidR="006D7B03" w:rsidRPr="00234E2D">
        <w:rPr>
          <w:rFonts w:ascii="Cambria" w:hAnsi="Cambria"/>
          <w:i/>
          <w:iCs/>
        </w:rPr>
        <w:t>assist</w:t>
      </w:r>
      <w:r w:rsidR="006D7B03" w:rsidRPr="00234E2D">
        <w:rPr>
          <w:rFonts w:ascii="Cambria" w:hAnsi="Cambria"/>
        </w:rPr>
        <w:t xml:space="preserve"> it. In 1886, the Supreme Court ruled in the Wabash Case.</w:t>
      </w:r>
      <w:r w:rsidR="006D7B03" w:rsidRPr="00234E2D">
        <w:rPr>
          <w:rStyle w:val="FootnoteReference"/>
          <w:rFonts w:ascii="Cambria" w:hAnsi="Cambria"/>
        </w:rPr>
        <w:footnoteReference w:id="56"/>
      </w:r>
      <w:r w:rsidR="006D7B03" w:rsidRPr="00234E2D">
        <w:rPr>
          <w:rFonts w:ascii="Cambria" w:hAnsi="Cambria"/>
        </w:rPr>
        <w:t xml:space="preserve"> This opened the door to new administrative mechanisms, most notably passage of the Interstate Commerce Act, which led to the creation of the Interstate Commerce Commission in 1887. </w:t>
      </w:r>
      <w:r w:rsidR="00E33F0F" w:rsidRPr="00234E2D">
        <w:rPr>
          <w:rFonts w:ascii="Cambria" w:hAnsi="Cambria"/>
        </w:rPr>
        <w:t>The Court</w:t>
      </w:r>
      <w:r w:rsidR="004166FF" w:rsidRPr="00234E2D">
        <w:rPr>
          <w:rFonts w:ascii="Cambria" w:hAnsi="Cambria"/>
        </w:rPr>
        <w:t xml:space="preserve"> continued to abandon the distinction between regulation and construction: in</w:t>
      </w:r>
      <w:r w:rsidR="00E33F0F" w:rsidRPr="00234E2D">
        <w:rPr>
          <w:rFonts w:ascii="Cambria" w:hAnsi="Cambria"/>
        </w:rPr>
        <w:t xml:space="preserve"> 1888 </w:t>
      </w:r>
      <w:r w:rsidR="004166FF" w:rsidRPr="00234E2D">
        <w:rPr>
          <w:rFonts w:ascii="Cambria" w:hAnsi="Cambria"/>
        </w:rPr>
        <w:t xml:space="preserve">with its </w:t>
      </w:r>
      <w:r w:rsidR="00E33F0F" w:rsidRPr="00234E2D">
        <w:rPr>
          <w:rFonts w:ascii="Cambria" w:hAnsi="Cambria"/>
        </w:rPr>
        <w:t xml:space="preserve">decision in </w:t>
      </w:r>
      <w:r w:rsidR="00E33F0F" w:rsidRPr="00234E2D">
        <w:rPr>
          <w:rFonts w:ascii="Cambria" w:hAnsi="Cambria"/>
          <w:i/>
          <w:iCs/>
        </w:rPr>
        <w:t>California v. Central Pacific R. Company</w:t>
      </w:r>
      <w:r w:rsidR="004166FF" w:rsidRPr="00234E2D">
        <w:rPr>
          <w:rFonts w:ascii="Cambria" w:hAnsi="Cambria"/>
        </w:rPr>
        <w:t>;</w:t>
      </w:r>
      <w:r w:rsidR="00E33F0F" w:rsidRPr="00234E2D">
        <w:rPr>
          <w:rStyle w:val="FootnoteReference"/>
          <w:rFonts w:ascii="Cambria" w:hAnsi="Cambria"/>
        </w:rPr>
        <w:footnoteReference w:id="57"/>
      </w:r>
      <w:r w:rsidR="004166FF" w:rsidRPr="00234E2D">
        <w:rPr>
          <w:rFonts w:ascii="Cambria" w:hAnsi="Cambria"/>
        </w:rPr>
        <w:t xml:space="preserve"> in 1893 with its decision in </w:t>
      </w:r>
      <w:r w:rsidR="004166FF" w:rsidRPr="00234E2D">
        <w:rPr>
          <w:rFonts w:ascii="Cambria" w:eastAsiaTheme="minorEastAsia" w:hAnsi="Cambria" w:cs="Arial"/>
          <w:i/>
          <w:iCs/>
          <w:color w:val="000000" w:themeColor="text1"/>
          <w:kern w:val="24"/>
          <w14:ligatures w14:val="none"/>
        </w:rPr>
        <w:t>Monongahela Navigation Co. v. United States;</w:t>
      </w:r>
      <w:r w:rsidR="004166FF" w:rsidRPr="00234E2D">
        <w:rPr>
          <w:rStyle w:val="FootnoteReference"/>
          <w:rFonts w:ascii="Cambria" w:eastAsiaTheme="minorEastAsia" w:hAnsi="Cambria" w:cs="Arial"/>
          <w:i/>
          <w:iCs/>
          <w:color w:val="000000" w:themeColor="text1"/>
          <w:kern w:val="24"/>
          <w14:ligatures w14:val="none"/>
        </w:rPr>
        <w:footnoteReference w:id="58"/>
      </w:r>
      <w:r w:rsidR="004166FF" w:rsidRPr="00234E2D">
        <w:rPr>
          <w:rFonts w:ascii="Cambria" w:eastAsiaTheme="minorEastAsia" w:hAnsi="Cambria" w:cs="Arial"/>
          <w:color w:val="000000" w:themeColor="text1"/>
          <w:kern w:val="24"/>
          <w14:ligatures w14:val="none"/>
        </w:rPr>
        <w:t xml:space="preserve"> and </w:t>
      </w:r>
      <w:r w:rsidR="00233CDD" w:rsidRPr="00234E2D">
        <w:rPr>
          <w:rFonts w:ascii="Cambria" w:eastAsiaTheme="minorEastAsia" w:hAnsi="Cambria" w:cs="Arial"/>
          <w:color w:val="000000" w:themeColor="text1"/>
          <w:kern w:val="24"/>
          <w14:ligatures w14:val="none"/>
        </w:rPr>
        <w:t xml:space="preserve">in 1894 with its decision in </w:t>
      </w:r>
      <w:r w:rsidR="00233CDD" w:rsidRPr="00234E2D">
        <w:rPr>
          <w:rFonts w:ascii="Cambria" w:eastAsiaTheme="minorEastAsia" w:hAnsi="Cambria" w:cs="Arial"/>
          <w:i/>
          <w:iCs/>
          <w:color w:val="000000" w:themeColor="text1"/>
          <w:kern w:val="24"/>
          <w14:ligatures w14:val="none"/>
        </w:rPr>
        <w:t>Luxton v. N. River Bridge Company.</w:t>
      </w:r>
      <w:r w:rsidR="00233CDD" w:rsidRPr="00234E2D">
        <w:rPr>
          <w:rStyle w:val="FootnoteReference"/>
          <w:rFonts w:ascii="Cambria" w:eastAsiaTheme="minorEastAsia" w:hAnsi="Cambria" w:cs="Arial"/>
          <w:i/>
          <w:iCs/>
          <w:color w:val="000000" w:themeColor="text1"/>
          <w:kern w:val="24"/>
          <w14:ligatures w14:val="none"/>
        </w:rPr>
        <w:footnoteReference w:id="59"/>
      </w:r>
      <w:r w:rsidR="00E80487" w:rsidRPr="00234E2D">
        <w:rPr>
          <w:rFonts w:ascii="Cambria" w:eastAsiaTheme="minorEastAsia" w:hAnsi="Cambria" w:cs="Arial"/>
          <w:i/>
          <w:iCs/>
          <w:color w:val="000000" w:themeColor="text1"/>
          <w:kern w:val="24"/>
          <w14:ligatures w14:val="none"/>
        </w:rPr>
        <w:t xml:space="preserve"> </w:t>
      </w:r>
      <w:r w:rsidR="00E80487" w:rsidRPr="00234E2D">
        <w:rPr>
          <w:rFonts w:ascii="Cambria" w:hAnsi="Cambria"/>
        </w:rPr>
        <w:t>Together, these decisions blurred the distinction between regulation and construction, permitting Congress to move from governing commerce to facilitating it.</w:t>
      </w:r>
    </w:p>
    <w:p w14:paraId="457F1729" w14:textId="77777777" w:rsidR="00403535" w:rsidRPr="00234E2D" w:rsidRDefault="00403535" w:rsidP="004166FF">
      <w:pPr>
        <w:spacing w:after="0" w:line="240" w:lineRule="auto"/>
        <w:rPr>
          <w:rFonts w:ascii="Cambria" w:hAnsi="Cambria"/>
        </w:rPr>
      </w:pPr>
    </w:p>
    <w:p w14:paraId="0D7EAF37" w14:textId="2D18C9EB" w:rsidR="00403535" w:rsidRPr="00234E2D" w:rsidRDefault="00403535" w:rsidP="004166FF">
      <w:pPr>
        <w:spacing w:after="0" w:line="240" w:lineRule="auto"/>
        <w:rPr>
          <w:rFonts w:ascii="Cambria" w:hAnsi="Cambria"/>
        </w:rPr>
      </w:pPr>
      <w:r w:rsidRPr="00234E2D">
        <w:rPr>
          <w:rFonts w:ascii="Cambria" w:hAnsi="Cambria"/>
        </w:rPr>
        <w:t xml:space="preserve">Against this backdrop, </w:t>
      </w:r>
      <w:r w:rsidRPr="00234E2D">
        <w:rPr>
          <w:rFonts w:ascii="Cambria" w:hAnsi="Cambria"/>
          <w:i/>
          <w:iCs/>
        </w:rPr>
        <w:t>Wilson v. Shaw</w:t>
      </w:r>
      <w:r w:rsidRPr="00234E2D">
        <w:rPr>
          <w:rFonts w:ascii="Cambria" w:hAnsi="Cambria"/>
        </w:rPr>
        <w:t xml:space="preserve"> upheld federal funding of the Panama Canal and declared that “these authorities recognize the power of Congress to construct interstate highways.”</w:t>
      </w:r>
      <w:r w:rsidRPr="00234E2D">
        <w:rPr>
          <w:rStyle w:val="FootnoteReference"/>
          <w:rFonts w:ascii="Cambria" w:hAnsi="Cambria"/>
        </w:rPr>
        <w:footnoteReference w:id="60"/>
      </w:r>
      <w:r w:rsidRPr="00234E2D">
        <w:rPr>
          <w:rFonts w:ascii="Cambria" w:hAnsi="Cambria"/>
        </w:rPr>
        <w:t xml:space="preserve"> By then, Madison’s Notes had been publicly available for more than six decades. The Court did not </w:t>
      </w:r>
      <w:proofErr w:type="gramStart"/>
      <w:r w:rsidRPr="00234E2D">
        <w:rPr>
          <w:rFonts w:ascii="Cambria" w:hAnsi="Cambria"/>
        </w:rPr>
        <w:t>engage</w:t>
      </w:r>
      <w:proofErr w:type="gramEnd"/>
      <w:r w:rsidRPr="00234E2D">
        <w:rPr>
          <w:rFonts w:ascii="Cambria" w:hAnsi="Cambria"/>
        </w:rPr>
        <w:t xml:space="preserve"> the Convention’s post-enumeration refusals, the sustained executive veto practice of the nineteenth century, or the explicit rejection of infrastructure authority after enumeration was complete. Instead, it treated implied power as settled</w:t>
      </w:r>
      <w:r w:rsidR="00BE2590" w:rsidRPr="00234E2D">
        <w:rPr>
          <w:rFonts w:ascii="Cambria" w:hAnsi="Cambria"/>
        </w:rPr>
        <w:t xml:space="preserve"> - </w:t>
      </w:r>
      <w:r w:rsidRPr="00234E2D">
        <w:rPr>
          <w:rFonts w:ascii="Cambria" w:hAnsi="Cambria"/>
        </w:rPr>
        <w:t xml:space="preserve">transforming political and administrative precedent into constitutional </w:t>
      </w:r>
      <w:r w:rsidRPr="00234E2D">
        <w:rPr>
          <w:rFonts w:ascii="Cambria" w:hAnsi="Cambria"/>
        </w:rPr>
        <w:lastRenderedPageBreak/>
        <w:t>doctrine.</w:t>
      </w:r>
      <w:r w:rsidR="00514845" w:rsidRPr="00234E2D">
        <w:rPr>
          <w:rFonts w:ascii="Cambria" w:hAnsi="Cambria"/>
        </w:rPr>
        <w:t xml:space="preserve"> </w:t>
      </w:r>
      <w:r w:rsidR="00B31C6D" w:rsidRPr="00234E2D">
        <w:rPr>
          <w:rFonts w:ascii="Cambria" w:hAnsi="Cambria"/>
        </w:rPr>
        <w:t>By allowing accumulated practice to substitute for original authorization, the Court inverted the Founding sequence, permitting implication to displace an authority the Framers had expressly refused.</w:t>
      </w:r>
    </w:p>
    <w:p w14:paraId="50A6F18C" w14:textId="77777777" w:rsidR="00403535" w:rsidRPr="00234E2D" w:rsidRDefault="00403535" w:rsidP="00403535">
      <w:pPr>
        <w:spacing w:after="0" w:line="240" w:lineRule="auto"/>
        <w:rPr>
          <w:rFonts w:ascii="Cambria" w:hAnsi="Cambria"/>
        </w:rPr>
      </w:pPr>
    </w:p>
    <w:p w14:paraId="50148475" w14:textId="77777777" w:rsidR="00403535" w:rsidRPr="00234E2D" w:rsidRDefault="00403535" w:rsidP="00403535">
      <w:pPr>
        <w:spacing w:after="0" w:line="240" w:lineRule="auto"/>
        <w:rPr>
          <w:rFonts w:ascii="Cambria" w:hAnsi="Cambria"/>
        </w:rPr>
      </w:pPr>
      <w:r w:rsidRPr="00234E2D">
        <w:rPr>
          <w:rFonts w:ascii="Cambria" w:hAnsi="Cambria"/>
          <w:i/>
          <w:iCs/>
        </w:rPr>
        <w:t>Wilson v. Shaw</w:t>
      </w:r>
      <w:r w:rsidRPr="00234E2D">
        <w:rPr>
          <w:rFonts w:ascii="Cambria" w:hAnsi="Cambria"/>
        </w:rPr>
        <w:t xml:space="preserve"> thus represents not the discovery of an original power, but the judicial acceptance of a power long exercised without constitutional amendment. In doing so, the Court completed a shift that began not with ambiguity at the Founding, but with the abandonment of sequence in favor of expedience.</w:t>
      </w:r>
    </w:p>
    <w:p w14:paraId="3C45AC79" w14:textId="77777777" w:rsidR="00C6549F" w:rsidRPr="00234E2D" w:rsidRDefault="00C6549F" w:rsidP="00403535">
      <w:pPr>
        <w:spacing w:after="0" w:line="240" w:lineRule="auto"/>
        <w:rPr>
          <w:rFonts w:ascii="Cambria" w:hAnsi="Cambria"/>
        </w:rPr>
      </w:pPr>
    </w:p>
    <w:p w14:paraId="01F9183C" w14:textId="77346FA9" w:rsidR="00C6549F" w:rsidRPr="00234E2D" w:rsidRDefault="00C6549F" w:rsidP="00C6549F">
      <w:pPr>
        <w:spacing w:after="0" w:line="240" w:lineRule="auto"/>
        <w:rPr>
          <w:rFonts w:ascii="Cambria" w:hAnsi="Cambria"/>
        </w:rPr>
      </w:pPr>
      <w:r w:rsidRPr="00234E2D">
        <w:rPr>
          <w:rFonts w:ascii="Cambria" w:hAnsi="Cambria"/>
        </w:rPr>
        <w:t>Taken together, this record demonstrates that the Convention’s refusal to authorize federal infrastructure funding was not merely theoretical. It was enforced in practice for more than four decades, gradually contested in politics, overridden by legislative majorities, and ultimately displaced</w:t>
      </w:r>
      <w:r w:rsidR="006322CA" w:rsidRPr="00234E2D">
        <w:rPr>
          <w:rFonts w:ascii="Cambria" w:hAnsi="Cambria"/>
        </w:rPr>
        <w:t xml:space="preserve">, </w:t>
      </w:r>
      <w:r w:rsidRPr="00234E2D">
        <w:rPr>
          <w:rFonts w:ascii="Cambria" w:hAnsi="Cambria"/>
        </w:rPr>
        <w:t>not resolved</w:t>
      </w:r>
      <w:r w:rsidR="006322CA" w:rsidRPr="00234E2D">
        <w:rPr>
          <w:rFonts w:ascii="Cambria" w:hAnsi="Cambria"/>
        </w:rPr>
        <w:t xml:space="preserve">, </w:t>
      </w:r>
      <w:r w:rsidRPr="00234E2D">
        <w:rPr>
          <w:rFonts w:ascii="Cambria" w:hAnsi="Cambria"/>
        </w:rPr>
        <w:t>before being judicially ratified in the twentieth century.</w:t>
      </w:r>
      <w:r w:rsidR="00BE2590" w:rsidRPr="00234E2D">
        <w:rPr>
          <w:rFonts w:ascii="Cambria" w:hAnsi="Cambria"/>
        </w:rPr>
        <w:t xml:space="preserve"> </w:t>
      </w:r>
      <w:r w:rsidR="00BE2590" w:rsidRPr="00234E2D">
        <w:rPr>
          <w:rStyle w:val="Emphasis"/>
          <w:rFonts w:ascii="Cambria" w:hAnsi="Cambria"/>
        </w:rPr>
        <w:t>Wilson</w:t>
      </w:r>
      <w:r w:rsidR="00BE2590" w:rsidRPr="00234E2D">
        <w:rPr>
          <w:rFonts w:ascii="Cambria" w:hAnsi="Cambria"/>
        </w:rPr>
        <w:t xml:space="preserve"> did not discover federal infrastructure authority; it constitutionalized what implication and practice had normalized.</w:t>
      </w:r>
    </w:p>
    <w:p w14:paraId="4414AA79" w14:textId="77777777" w:rsidR="00A8662E" w:rsidRPr="00234E2D" w:rsidRDefault="00A8662E" w:rsidP="00C6549F">
      <w:pPr>
        <w:spacing w:after="0" w:line="240" w:lineRule="auto"/>
        <w:rPr>
          <w:rFonts w:ascii="Cambria" w:hAnsi="Cambria"/>
        </w:rPr>
      </w:pPr>
    </w:p>
    <w:p w14:paraId="5A06F888" w14:textId="77777777" w:rsidR="00AC7CF7" w:rsidRPr="00234E2D" w:rsidRDefault="00A8662E" w:rsidP="00AC7CF7">
      <w:pPr>
        <w:spacing w:after="0" w:line="240" w:lineRule="auto"/>
        <w:rPr>
          <w:rFonts w:ascii="Cambria" w:hAnsi="Cambria"/>
          <w:b/>
          <w:bCs/>
        </w:rPr>
      </w:pPr>
      <w:r w:rsidRPr="00234E2D">
        <w:rPr>
          <w:rFonts w:ascii="Cambria" w:hAnsi="Cambria"/>
          <w:b/>
          <w:bCs/>
        </w:rPr>
        <w:t>IX. Implications for Stare Decisis and Modern Restraint</w:t>
      </w:r>
    </w:p>
    <w:p w14:paraId="4CA282C0" w14:textId="51BDD8FB" w:rsidR="00AC7CF7" w:rsidRPr="00234E2D" w:rsidRDefault="00AC7CF7" w:rsidP="00AC7CF7">
      <w:pPr>
        <w:spacing w:after="0" w:line="240" w:lineRule="auto"/>
        <w:rPr>
          <w:rFonts w:ascii="Cambria" w:eastAsia="Times New Roman" w:hAnsi="Cambria" w:cs="Times New Roman"/>
          <w:kern w:val="0"/>
          <w14:ligatures w14:val="none"/>
        </w:rPr>
      </w:pPr>
      <w:r w:rsidRPr="00234E2D">
        <w:rPr>
          <w:rFonts w:ascii="Cambria" w:eastAsia="Times New Roman" w:hAnsi="Cambria" w:cs="Times New Roman"/>
          <w:kern w:val="0"/>
          <w14:ligatures w14:val="none"/>
        </w:rPr>
        <w:t xml:space="preserve">Recognizing the Founding-era sequence of enumeration followed by refusal raises a direct question: if </w:t>
      </w:r>
      <w:r w:rsidRPr="00234E2D">
        <w:rPr>
          <w:rFonts w:ascii="Cambria" w:eastAsia="Times New Roman" w:hAnsi="Cambria" w:cs="Times New Roman"/>
          <w:i/>
          <w:iCs/>
          <w:kern w:val="0"/>
          <w14:ligatures w14:val="none"/>
        </w:rPr>
        <w:t>Wilson v. Shaw</w:t>
      </w:r>
      <w:r w:rsidRPr="00234E2D">
        <w:rPr>
          <w:rFonts w:ascii="Cambria" w:eastAsia="Times New Roman" w:hAnsi="Cambria" w:cs="Times New Roman"/>
          <w:kern w:val="0"/>
          <w14:ligatures w14:val="none"/>
        </w:rPr>
        <w:t xml:space="preserve"> abandoned that sequence in favor of expedience, does stare decisis require perpetuating the methodological departure? Stare decisis counsels caution, not immobility. It does not demand retention of precedent where reliance interests are </w:t>
      </w:r>
      <w:proofErr w:type="gramStart"/>
      <w:r w:rsidRPr="00234E2D">
        <w:rPr>
          <w:rFonts w:ascii="Cambria" w:eastAsia="Times New Roman" w:hAnsi="Cambria" w:cs="Times New Roman"/>
          <w:kern w:val="0"/>
          <w14:ligatures w14:val="none"/>
        </w:rPr>
        <w:t>manageable</w:t>
      </w:r>
      <w:proofErr w:type="gramEnd"/>
      <w:r w:rsidRPr="00234E2D">
        <w:rPr>
          <w:rFonts w:ascii="Cambria" w:eastAsia="Times New Roman" w:hAnsi="Cambria" w:cs="Times New Roman"/>
          <w:kern w:val="0"/>
          <w14:ligatures w14:val="none"/>
        </w:rPr>
        <w:t xml:space="preserve"> and the decision’s foundations have eroded.</w:t>
      </w:r>
    </w:p>
    <w:p w14:paraId="6156A608" w14:textId="77777777" w:rsidR="00AC7CF7" w:rsidRPr="00234E2D" w:rsidRDefault="00AC7CF7" w:rsidP="00AC7CF7">
      <w:pPr>
        <w:spacing w:after="0" w:line="240" w:lineRule="auto"/>
        <w:rPr>
          <w:rFonts w:ascii="Cambria" w:hAnsi="Cambria"/>
          <w:b/>
          <w:bCs/>
        </w:rPr>
      </w:pPr>
    </w:p>
    <w:p w14:paraId="117ED8FE" w14:textId="7518A17B" w:rsidR="00AC7CF7" w:rsidRPr="00234E2D" w:rsidRDefault="00AC7CF7" w:rsidP="00AC7CF7">
      <w:pPr>
        <w:spacing w:after="0" w:line="240" w:lineRule="auto"/>
        <w:rPr>
          <w:rFonts w:ascii="Cambria" w:eastAsia="Times New Roman" w:hAnsi="Cambria" w:cs="Times New Roman"/>
          <w:kern w:val="0"/>
          <w14:ligatures w14:val="none"/>
        </w:rPr>
      </w:pPr>
      <w:r w:rsidRPr="00234E2D">
        <w:rPr>
          <w:rFonts w:ascii="Cambria" w:eastAsia="Times New Roman" w:hAnsi="Cambria" w:cs="Times New Roman"/>
          <w:kern w:val="0"/>
          <w14:ligatures w14:val="none"/>
        </w:rPr>
        <w:t xml:space="preserve">Overruling </w:t>
      </w:r>
      <w:r w:rsidRPr="00234E2D">
        <w:rPr>
          <w:rFonts w:ascii="Cambria" w:eastAsia="Times New Roman" w:hAnsi="Cambria" w:cs="Times New Roman"/>
          <w:i/>
          <w:iCs/>
          <w:kern w:val="0"/>
          <w14:ligatures w14:val="none"/>
        </w:rPr>
        <w:t>Wilson</w:t>
      </w:r>
      <w:r w:rsidRPr="00234E2D">
        <w:rPr>
          <w:rFonts w:ascii="Cambria" w:eastAsia="Times New Roman" w:hAnsi="Cambria" w:cs="Times New Roman"/>
          <w:kern w:val="0"/>
          <w14:ligatures w14:val="none"/>
        </w:rPr>
        <w:t xml:space="preserve"> would not precipitate chaos or dismantle existing federal infrastructure. Although the case upheld funding for the Panama Canal under the Commerce Clause and the Territories power, subsequent doctrine - particularly the post</w:t>
      </w:r>
      <w:r w:rsidR="008F0FBE" w:rsidRPr="00234E2D">
        <w:rPr>
          <w:rFonts w:ascii="Cambria" w:eastAsia="Times New Roman" w:hAnsi="Cambria" w:cs="Times New Roman"/>
          <w:kern w:val="0"/>
          <w14:ligatures w14:val="none"/>
        </w:rPr>
        <w:t>-</w:t>
      </w:r>
      <w:r w:rsidRPr="00234E2D">
        <w:rPr>
          <w:rFonts w:ascii="Cambria" w:eastAsia="Times New Roman" w:hAnsi="Cambria" w:cs="Times New Roman"/>
          <w:kern w:val="0"/>
          <w14:ligatures w14:val="none"/>
        </w:rPr>
        <w:t>New Deal expansion of the Commerce Clause - provides alternative grounds for much contemporary federal involvement. Modern precedents permit Congress to regulate activities that substantially affect interstate commerce, allowing many infrastructure programs to be justified as regulatory measures facilitating commerce rather than as direct exercises of an implied construction power.</w:t>
      </w:r>
    </w:p>
    <w:p w14:paraId="49762B73" w14:textId="77777777" w:rsidR="00AC7CF7" w:rsidRPr="00234E2D" w:rsidRDefault="00AC7CF7" w:rsidP="00AC7CF7">
      <w:pPr>
        <w:spacing w:after="0" w:line="240" w:lineRule="auto"/>
        <w:rPr>
          <w:rFonts w:ascii="Cambria" w:eastAsia="Times New Roman" w:hAnsi="Cambria" w:cs="Times New Roman"/>
          <w:kern w:val="0"/>
          <w14:ligatures w14:val="none"/>
        </w:rPr>
      </w:pPr>
    </w:p>
    <w:p w14:paraId="4A574890" w14:textId="59659967" w:rsidR="00AC7CF7" w:rsidRPr="00234E2D" w:rsidRDefault="00AC7CF7" w:rsidP="00AC7CF7">
      <w:pPr>
        <w:spacing w:after="0" w:line="240" w:lineRule="auto"/>
        <w:rPr>
          <w:rFonts w:ascii="Cambria" w:eastAsia="Times New Roman" w:hAnsi="Cambria" w:cs="Times New Roman"/>
          <w:kern w:val="0"/>
          <w14:ligatures w14:val="none"/>
        </w:rPr>
      </w:pPr>
      <w:r w:rsidRPr="00234E2D">
        <w:rPr>
          <w:rFonts w:ascii="Cambria" w:eastAsia="Times New Roman" w:hAnsi="Cambria" w:cs="Times New Roman"/>
          <w:kern w:val="0"/>
          <w14:ligatures w14:val="none"/>
        </w:rPr>
        <w:t xml:space="preserve">At the same time, reconsidering </w:t>
      </w:r>
      <w:r w:rsidRPr="00234E2D">
        <w:rPr>
          <w:rFonts w:ascii="Cambria" w:eastAsia="Times New Roman" w:hAnsi="Cambria" w:cs="Times New Roman"/>
          <w:i/>
          <w:iCs/>
          <w:kern w:val="0"/>
          <w14:ligatures w14:val="none"/>
        </w:rPr>
        <w:t>Wilson</w:t>
      </w:r>
      <w:r w:rsidRPr="00234E2D">
        <w:rPr>
          <w:rFonts w:ascii="Cambria" w:eastAsia="Times New Roman" w:hAnsi="Cambria" w:cs="Times New Roman"/>
          <w:kern w:val="0"/>
          <w14:ligatures w14:val="none"/>
        </w:rPr>
        <w:t xml:space="preserve"> would restore a limiting principle long emphasized in nineteenth-century practice: the distinction between regulating commerce and constructing local improvements. Federal funding for projects of predominantly local benefit could accordingly shift back toward state responsibility -whether through state taxation, tonnage duties with congressional consent, or constitutional amendment where national authority is deemed necessary. Such a recalibration would mitigate the moral hazard inherent in separating costs from benefits, reinforcing fiscal discipline and reducing incentives for sectional bargaining.</w:t>
      </w:r>
      <w:r w:rsidR="005D147F" w:rsidRPr="00234E2D">
        <w:rPr>
          <w:rStyle w:val="FootnoteReference"/>
          <w:rFonts w:ascii="Cambria" w:eastAsia="Times New Roman" w:hAnsi="Cambria" w:cs="Times New Roman"/>
          <w:kern w:val="0"/>
          <w14:ligatures w14:val="none"/>
        </w:rPr>
        <w:footnoteReference w:id="61"/>
      </w:r>
      <w:r w:rsidR="00BA0FC5" w:rsidRPr="00234E2D">
        <w:rPr>
          <w:rFonts w:ascii="Cambria" w:hAnsi="Cambria"/>
        </w:rPr>
        <w:t xml:space="preserve"> </w:t>
      </w:r>
    </w:p>
    <w:p w14:paraId="6B8BF085" w14:textId="77777777" w:rsidR="00AC7CF7" w:rsidRPr="00234E2D" w:rsidRDefault="00AC7CF7" w:rsidP="00AC7CF7">
      <w:pPr>
        <w:spacing w:after="0" w:line="240" w:lineRule="auto"/>
        <w:rPr>
          <w:rFonts w:ascii="Cambria" w:eastAsia="Times New Roman" w:hAnsi="Cambria" w:cs="Times New Roman"/>
          <w:kern w:val="0"/>
          <w14:ligatures w14:val="none"/>
        </w:rPr>
      </w:pPr>
    </w:p>
    <w:p w14:paraId="2DEA406F" w14:textId="6095DB7F" w:rsidR="005D147F" w:rsidRPr="00234E2D" w:rsidRDefault="005D147F" w:rsidP="00AC7CF7">
      <w:pPr>
        <w:spacing w:after="0" w:line="240" w:lineRule="auto"/>
        <w:rPr>
          <w:rFonts w:ascii="Cambria" w:hAnsi="Cambria"/>
        </w:rPr>
      </w:pPr>
      <w:r w:rsidRPr="00234E2D">
        <w:rPr>
          <w:rFonts w:ascii="Cambria" w:hAnsi="Cambria"/>
        </w:rPr>
        <w:t>When infrastructure is financed at a distance, projects that would otherwise encounter fiscal resistance can appear artificially affordable, encouraging expansion over maintenance and scale over locality. Modern observers have noted that subsidized transportation systems systematically reduce the perceived cost of distance, reshaping land-use patterns and market behavior in ways that favor dispersion and centralized networks.</w:t>
      </w:r>
      <w:r w:rsidRPr="00234E2D">
        <w:rPr>
          <w:rStyle w:val="FootnoteReference"/>
          <w:rFonts w:ascii="Cambria" w:hAnsi="Cambria"/>
        </w:rPr>
        <w:footnoteReference w:id="62"/>
      </w:r>
      <w:r w:rsidRPr="00234E2D">
        <w:rPr>
          <w:rFonts w:ascii="Cambria" w:hAnsi="Cambria"/>
        </w:rPr>
        <w:t xml:space="preserve"> These dynamics mirror the concerns voiced by nineteenth-century opponents of </w:t>
      </w:r>
      <w:r w:rsidRPr="00234E2D">
        <w:rPr>
          <w:rFonts w:ascii="Cambria" w:hAnsi="Cambria"/>
        </w:rPr>
        <w:lastRenderedPageBreak/>
        <w:t>internal improvements, who warned that national funding would disguise costs, invite speculative behavior, and undermine local responsibility.</w:t>
      </w:r>
    </w:p>
    <w:p w14:paraId="0F27796E" w14:textId="77777777" w:rsidR="005D147F" w:rsidRPr="00234E2D" w:rsidRDefault="005D147F" w:rsidP="00AC7CF7">
      <w:pPr>
        <w:spacing w:after="0" w:line="240" w:lineRule="auto"/>
        <w:rPr>
          <w:rFonts w:ascii="Cambria" w:hAnsi="Cambria"/>
        </w:rPr>
      </w:pPr>
    </w:p>
    <w:p w14:paraId="1187904F" w14:textId="1478259A" w:rsidR="00AC7CF7" w:rsidRPr="00234E2D" w:rsidRDefault="00AC7CF7" w:rsidP="00AC7CF7">
      <w:pPr>
        <w:spacing w:after="0" w:line="240" w:lineRule="auto"/>
        <w:rPr>
          <w:rFonts w:ascii="Cambria" w:eastAsia="Times New Roman" w:hAnsi="Cambria" w:cs="Times New Roman"/>
          <w:kern w:val="0"/>
          <w14:ligatures w14:val="none"/>
        </w:rPr>
      </w:pPr>
      <w:r w:rsidRPr="00234E2D">
        <w:rPr>
          <w:rFonts w:ascii="Cambria" w:eastAsia="Times New Roman" w:hAnsi="Cambria" w:cs="Times New Roman"/>
          <w:kern w:val="0"/>
          <w14:ligatures w14:val="none"/>
        </w:rPr>
        <w:t xml:space="preserve">Stare decisis factors weigh in favor of at least partial reconsideration. </w:t>
      </w:r>
      <w:r w:rsidRPr="00234E2D">
        <w:rPr>
          <w:rFonts w:ascii="Cambria" w:eastAsia="Times New Roman" w:hAnsi="Cambria" w:cs="Times New Roman"/>
          <w:i/>
          <w:iCs/>
          <w:kern w:val="0"/>
          <w14:ligatures w14:val="none"/>
        </w:rPr>
        <w:t>Wilson</w:t>
      </w:r>
      <w:r w:rsidRPr="00234E2D">
        <w:rPr>
          <w:rFonts w:ascii="Cambria" w:eastAsia="Times New Roman" w:hAnsi="Cambria" w:cs="Times New Roman"/>
          <w:kern w:val="0"/>
          <w14:ligatures w14:val="none"/>
        </w:rPr>
        <w:t xml:space="preserve">’s workability has been strained by evolving federalism debates; reliance, while substantial, is not absolute; and changed institutional circumstances - including the rise of administrative agencies and the dominance of broad Commerce Clause doctrine - underscore that the decision rested less on original meaning than on accumulated implication. </w:t>
      </w:r>
      <w:r w:rsidR="00D33802" w:rsidRPr="00234E2D">
        <w:rPr>
          <w:rFonts w:ascii="Cambria" w:eastAsia="Times New Roman" w:hAnsi="Cambria" w:cs="Times New Roman"/>
          <w:kern w:val="0"/>
          <w14:ligatures w14:val="none"/>
        </w:rPr>
        <w:t xml:space="preserve">The Court has recently shown willingness to revisit </w:t>
      </w:r>
      <w:proofErr w:type="gramStart"/>
      <w:r w:rsidR="00D33802" w:rsidRPr="00234E2D">
        <w:rPr>
          <w:rFonts w:ascii="Cambria" w:eastAsia="Times New Roman" w:hAnsi="Cambria" w:cs="Times New Roman"/>
          <w:kern w:val="0"/>
          <w14:ligatures w14:val="none"/>
        </w:rPr>
        <w:t>precedent</w:t>
      </w:r>
      <w:proofErr w:type="gramEnd"/>
      <w:r w:rsidR="00D33802" w:rsidRPr="00234E2D">
        <w:rPr>
          <w:rFonts w:ascii="Cambria" w:eastAsia="Times New Roman" w:hAnsi="Cambria" w:cs="Times New Roman"/>
          <w:kern w:val="0"/>
          <w14:ligatures w14:val="none"/>
        </w:rPr>
        <w:t xml:space="preserve"> where foundational reasoning has eroded or circumstances have shifted significantly.</w:t>
      </w:r>
      <w:r w:rsidR="00D33802" w:rsidRPr="00234E2D">
        <w:rPr>
          <w:rStyle w:val="FootnoteReference"/>
          <w:rFonts w:ascii="Cambria" w:eastAsia="Times New Roman" w:hAnsi="Cambria" w:cs="Times New Roman"/>
          <w:kern w:val="0"/>
          <w14:ligatures w14:val="none"/>
        </w:rPr>
        <w:footnoteReference w:id="63"/>
      </w:r>
      <w:r w:rsidR="00D33802" w:rsidRPr="00234E2D">
        <w:rPr>
          <w:rFonts w:ascii="Cambria" w:eastAsia="Times New Roman" w:hAnsi="Cambria" w:cs="Times New Roman"/>
          <w:kern w:val="0"/>
          <w14:ligatures w14:val="none"/>
        </w:rPr>
        <w:t xml:space="preserve"> </w:t>
      </w:r>
      <w:r w:rsidRPr="00234E2D">
        <w:rPr>
          <w:rFonts w:ascii="Cambria" w:eastAsia="Times New Roman" w:hAnsi="Cambria" w:cs="Times New Roman"/>
          <w:kern w:val="0"/>
          <w14:ligatures w14:val="none"/>
        </w:rPr>
        <w:t xml:space="preserve">Even short of full overruling, renewed attention to sequence would permit courts to limit future expansions of implied power without </w:t>
      </w:r>
      <w:proofErr w:type="gramStart"/>
      <w:r w:rsidRPr="00234E2D">
        <w:rPr>
          <w:rFonts w:ascii="Cambria" w:eastAsia="Times New Roman" w:hAnsi="Cambria" w:cs="Times New Roman"/>
          <w:kern w:val="0"/>
          <w14:ligatures w14:val="none"/>
        </w:rPr>
        <w:t>unsettling settled</w:t>
      </w:r>
      <w:proofErr w:type="gramEnd"/>
      <w:r w:rsidRPr="00234E2D">
        <w:rPr>
          <w:rFonts w:ascii="Cambria" w:eastAsia="Times New Roman" w:hAnsi="Cambria" w:cs="Times New Roman"/>
          <w:kern w:val="0"/>
          <w14:ligatures w14:val="none"/>
        </w:rPr>
        <w:t xml:space="preserve"> arrangements, particularly in areas such as infrastructure subsidies framed as environmental or transportation regulation.</w:t>
      </w:r>
    </w:p>
    <w:p w14:paraId="25A69DAD" w14:textId="77777777" w:rsidR="00AC7CF7" w:rsidRPr="00234E2D" w:rsidRDefault="00AC7CF7" w:rsidP="00AC7CF7">
      <w:pPr>
        <w:spacing w:after="0" w:line="240" w:lineRule="auto"/>
        <w:rPr>
          <w:rFonts w:ascii="Cambria" w:eastAsia="Times New Roman" w:hAnsi="Cambria" w:cs="Times New Roman"/>
          <w:kern w:val="0"/>
          <w14:ligatures w14:val="none"/>
        </w:rPr>
      </w:pPr>
    </w:p>
    <w:p w14:paraId="18B7F1EE" w14:textId="4B3FF57B" w:rsidR="00AC7CF7" w:rsidRPr="00234E2D" w:rsidRDefault="00AC7CF7" w:rsidP="00AC7CF7">
      <w:pPr>
        <w:spacing w:after="0" w:line="240" w:lineRule="auto"/>
        <w:rPr>
          <w:rFonts w:ascii="Cambria" w:eastAsia="Times New Roman" w:hAnsi="Cambria" w:cs="Times New Roman"/>
          <w:kern w:val="0"/>
          <w14:ligatures w14:val="none"/>
        </w:rPr>
      </w:pPr>
      <w:r w:rsidRPr="00234E2D">
        <w:rPr>
          <w:rFonts w:ascii="Cambria" w:eastAsia="Times New Roman" w:hAnsi="Cambria" w:cs="Times New Roman"/>
          <w:kern w:val="0"/>
          <w14:ligatures w14:val="none"/>
        </w:rPr>
        <w:t xml:space="preserve">Properly understood, revisiting </w:t>
      </w:r>
      <w:r w:rsidRPr="00234E2D">
        <w:rPr>
          <w:rFonts w:ascii="Cambria" w:eastAsia="Times New Roman" w:hAnsi="Cambria" w:cs="Times New Roman"/>
          <w:i/>
          <w:iCs/>
          <w:kern w:val="0"/>
          <w14:ligatures w14:val="none"/>
        </w:rPr>
        <w:t>Wilson</w:t>
      </w:r>
      <w:r w:rsidRPr="00234E2D">
        <w:rPr>
          <w:rFonts w:ascii="Cambria" w:eastAsia="Times New Roman" w:hAnsi="Cambria" w:cs="Times New Roman"/>
          <w:kern w:val="0"/>
          <w14:ligatures w14:val="none"/>
        </w:rPr>
        <w:t xml:space="preserve"> would not reject modern governance but reintroduce a principle of restraint embedded in the Founding design. It would reaffirm that constitutional meaning is shaped not only by what the Framers authorized, but by what they deliberately refused</w:t>
      </w:r>
      <w:r w:rsidR="005D147F" w:rsidRPr="00234E2D">
        <w:rPr>
          <w:rFonts w:ascii="Cambria" w:eastAsia="Times New Roman" w:hAnsi="Cambria" w:cs="Times New Roman"/>
          <w:kern w:val="0"/>
          <w14:ligatures w14:val="none"/>
        </w:rPr>
        <w:t xml:space="preserve"> </w:t>
      </w:r>
      <w:r w:rsidRPr="00234E2D">
        <w:rPr>
          <w:rFonts w:ascii="Cambria" w:eastAsia="Times New Roman" w:hAnsi="Cambria" w:cs="Times New Roman"/>
          <w:kern w:val="0"/>
          <w14:ligatures w14:val="none"/>
        </w:rPr>
        <w:t>after enumeration was complete.</w:t>
      </w:r>
    </w:p>
    <w:p w14:paraId="6AB24EC4" w14:textId="77777777" w:rsidR="00AC7CF7" w:rsidRPr="00234E2D" w:rsidRDefault="00AC7CF7" w:rsidP="00AC7CF7">
      <w:pPr>
        <w:spacing w:after="0" w:line="240" w:lineRule="auto"/>
        <w:rPr>
          <w:rFonts w:ascii="Cambria" w:eastAsia="Times New Roman" w:hAnsi="Cambria" w:cs="Times New Roman"/>
          <w:kern w:val="0"/>
          <w14:ligatures w14:val="none"/>
        </w:rPr>
      </w:pPr>
    </w:p>
    <w:p w14:paraId="5F978767" w14:textId="77777777" w:rsidR="000944EB" w:rsidRPr="00234E2D" w:rsidRDefault="00C1023F" w:rsidP="000944EB">
      <w:pPr>
        <w:spacing w:after="0" w:line="240" w:lineRule="auto"/>
        <w:rPr>
          <w:rFonts w:ascii="Cambria" w:hAnsi="Cambria"/>
          <w:b/>
          <w:bCs/>
        </w:rPr>
      </w:pPr>
      <w:r w:rsidRPr="00234E2D">
        <w:rPr>
          <w:rFonts w:ascii="Cambria" w:hAnsi="Cambria"/>
          <w:b/>
          <w:bCs/>
        </w:rPr>
        <w:t>Conclusion</w:t>
      </w:r>
    </w:p>
    <w:p w14:paraId="70B44470" w14:textId="1E319168" w:rsidR="000944EB" w:rsidRPr="00234E2D" w:rsidRDefault="000944EB" w:rsidP="000944EB">
      <w:pPr>
        <w:spacing w:after="0" w:line="240" w:lineRule="auto"/>
        <w:rPr>
          <w:rFonts w:ascii="Cambria" w:hAnsi="Cambria"/>
          <w:b/>
          <w:bCs/>
        </w:rPr>
      </w:pPr>
      <w:r w:rsidRPr="00234E2D">
        <w:rPr>
          <w:rFonts w:ascii="Cambria" w:eastAsia="Times New Roman" w:hAnsi="Cambria" w:cs="Times New Roman"/>
          <w:kern w:val="0"/>
          <w14:ligatures w14:val="none"/>
        </w:rPr>
        <w:t>The Constitution did not silently grant Congress powers to fund infrastructure or charter corporations. The Framers contemplated and refused such powers</w:t>
      </w:r>
      <w:r w:rsidRPr="00234E2D">
        <w:rPr>
          <w:rFonts w:ascii="Cambria" w:eastAsia="Times New Roman" w:hAnsi="Cambria" w:cs="Times New Roman"/>
          <w:kern w:val="0"/>
          <w14:ligatures w14:val="none"/>
        </w:rPr>
        <w:t xml:space="preserve"> - </w:t>
      </w:r>
      <w:r w:rsidRPr="00234E2D">
        <w:rPr>
          <w:rFonts w:ascii="Cambria" w:eastAsia="Times New Roman" w:hAnsi="Cambria" w:cs="Times New Roman"/>
          <w:kern w:val="0"/>
          <w14:ligatures w14:val="none"/>
        </w:rPr>
        <w:t>repeatedly, deliberately, and late in the drafting process, after the enumeration of congressional authority had been settled. Subsequent doctrine rests not on original meaning, but on the abandonment of that sequence.</w:t>
      </w:r>
    </w:p>
    <w:p w14:paraId="4EB269A2" w14:textId="131764EA" w:rsidR="000944EB" w:rsidRPr="00234E2D" w:rsidRDefault="000944EB" w:rsidP="000944EB">
      <w:pPr>
        <w:spacing w:before="100" w:beforeAutospacing="1" w:after="100" w:afterAutospacing="1" w:line="240" w:lineRule="auto"/>
        <w:rPr>
          <w:rFonts w:ascii="Cambria" w:eastAsia="Times New Roman" w:hAnsi="Cambria" w:cs="Times New Roman"/>
          <w:kern w:val="0"/>
          <w14:ligatures w14:val="none"/>
        </w:rPr>
      </w:pPr>
      <w:r w:rsidRPr="00234E2D">
        <w:rPr>
          <w:rFonts w:ascii="Cambria" w:eastAsia="Times New Roman" w:hAnsi="Cambria" w:cs="Times New Roman"/>
          <w:kern w:val="0"/>
          <w14:ligatures w14:val="none"/>
        </w:rPr>
        <w:t>This Article does not contend that all exercises of implied power are constitutionally suspect. Where an asserted means executes an enumerated end that was never proposed and refused at the Founding, sequence imposes no comparable constraint. But where refusal follows completed enumeration and informed debate, prudence is the evidence of meaning</w:t>
      </w:r>
      <w:r w:rsidRPr="00234E2D">
        <w:rPr>
          <w:rFonts w:ascii="Cambria" w:eastAsia="Times New Roman" w:hAnsi="Cambria" w:cs="Times New Roman"/>
          <w:kern w:val="0"/>
          <w14:ligatures w14:val="none"/>
        </w:rPr>
        <w:t xml:space="preserve"> - </w:t>
      </w:r>
      <w:r w:rsidRPr="00234E2D">
        <w:rPr>
          <w:rFonts w:ascii="Cambria" w:eastAsia="Times New Roman" w:hAnsi="Cambria" w:cs="Times New Roman"/>
          <w:kern w:val="0"/>
          <w14:ligatures w14:val="none"/>
        </w:rPr>
        <w:t>not its negation.</w:t>
      </w:r>
    </w:p>
    <w:p w14:paraId="2D8B49E3" w14:textId="77777777" w:rsidR="000944EB" w:rsidRPr="00234E2D" w:rsidRDefault="000944EB" w:rsidP="000944EB">
      <w:pPr>
        <w:spacing w:before="100" w:beforeAutospacing="1" w:after="100" w:afterAutospacing="1" w:line="240" w:lineRule="auto"/>
        <w:rPr>
          <w:rFonts w:ascii="Cambria" w:eastAsia="Times New Roman" w:hAnsi="Cambria" w:cs="Times New Roman"/>
          <w:kern w:val="0"/>
          <w14:ligatures w14:val="none"/>
        </w:rPr>
      </w:pPr>
      <w:r w:rsidRPr="00234E2D">
        <w:rPr>
          <w:rFonts w:ascii="Cambria" w:eastAsia="Times New Roman" w:hAnsi="Cambria" w:cs="Times New Roman"/>
          <w:kern w:val="0"/>
          <w14:ligatures w14:val="none"/>
        </w:rPr>
        <w:t>That abandonment carried predictable institutional consequences, permitting arrangements that separated benefit from cost and normalized what would now be recognized as forms of moral hazard within federal spending and chartering regimes. Stare decisis does not require perpetuating that abandonment; at minimum, it permits renewed restraint grounded in the historical record.</w:t>
      </w:r>
    </w:p>
    <w:p w14:paraId="45290201" w14:textId="4B5AAD39" w:rsidR="00514845" w:rsidRPr="00234E2D" w:rsidRDefault="00514845" w:rsidP="000944EB">
      <w:pPr>
        <w:spacing w:after="0" w:line="240" w:lineRule="auto"/>
        <w:rPr>
          <w:rFonts w:ascii="Cambria" w:hAnsi="Cambria"/>
        </w:rPr>
      </w:pPr>
    </w:p>
    <w:sectPr w:rsidR="00514845" w:rsidRPr="00234E2D" w:rsidSect="008A0CC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B3FE5" w14:textId="77777777" w:rsidR="002A01FA" w:rsidRDefault="002A01FA" w:rsidP="00C35A32">
      <w:pPr>
        <w:spacing w:after="0" w:line="240" w:lineRule="auto"/>
      </w:pPr>
      <w:r>
        <w:separator/>
      </w:r>
    </w:p>
  </w:endnote>
  <w:endnote w:type="continuationSeparator" w:id="0">
    <w:p w14:paraId="54905272" w14:textId="77777777" w:rsidR="002A01FA" w:rsidRDefault="002A01FA" w:rsidP="00C35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42736" w14:textId="77777777" w:rsidR="002A01FA" w:rsidRDefault="002A01FA" w:rsidP="00C35A32">
      <w:pPr>
        <w:spacing w:after="0" w:line="240" w:lineRule="auto"/>
      </w:pPr>
      <w:r>
        <w:separator/>
      </w:r>
    </w:p>
  </w:footnote>
  <w:footnote w:type="continuationSeparator" w:id="0">
    <w:p w14:paraId="4D2D286D" w14:textId="77777777" w:rsidR="002A01FA" w:rsidRDefault="002A01FA" w:rsidP="00C35A32">
      <w:pPr>
        <w:spacing w:after="0" w:line="240" w:lineRule="auto"/>
      </w:pPr>
      <w:r>
        <w:continuationSeparator/>
      </w:r>
    </w:p>
  </w:footnote>
  <w:footnote w:id="1">
    <w:p w14:paraId="06331CEB" w14:textId="4E2B247B" w:rsidR="00C35A32" w:rsidRPr="00C35A32" w:rsidRDefault="00C35A32" w:rsidP="00C35A32">
      <w:pPr>
        <w:spacing w:after="0" w:line="240" w:lineRule="auto"/>
        <w:rPr>
          <w:sz w:val="20"/>
          <w:szCs w:val="20"/>
        </w:rPr>
      </w:pPr>
      <w:r w:rsidRPr="00C35A32">
        <w:rPr>
          <w:rStyle w:val="FootnoteReference"/>
          <w:sz w:val="20"/>
          <w:szCs w:val="20"/>
        </w:rPr>
        <w:footnoteRef/>
      </w:r>
      <w:r w:rsidRPr="00C35A32">
        <w:rPr>
          <w:sz w:val="20"/>
          <w:szCs w:val="20"/>
        </w:rPr>
        <w:t xml:space="preserve"> Committee of Eleven report, Sept. 5, 1787 (</w:t>
      </w:r>
      <w:r w:rsidRPr="00C35A32">
        <w:rPr>
          <w:i/>
          <w:iCs/>
          <w:sz w:val="20"/>
          <w:szCs w:val="20"/>
        </w:rPr>
        <w:t>2 Farrand</w:t>
      </w:r>
      <w:r w:rsidRPr="00C35A32">
        <w:rPr>
          <w:sz w:val="20"/>
          <w:szCs w:val="20"/>
        </w:rPr>
        <w:t>)</w:t>
      </w:r>
    </w:p>
  </w:footnote>
  <w:footnote w:id="2">
    <w:p w14:paraId="625DCE5E" w14:textId="08054B6C" w:rsidR="00C35A32" w:rsidRPr="00C35A32" w:rsidRDefault="00C35A32" w:rsidP="00C35A32">
      <w:pPr>
        <w:spacing w:after="0" w:line="240" w:lineRule="auto"/>
        <w:rPr>
          <w:sz w:val="20"/>
          <w:szCs w:val="20"/>
        </w:rPr>
      </w:pPr>
      <w:r w:rsidRPr="00C35A32">
        <w:rPr>
          <w:rStyle w:val="FootnoteReference"/>
          <w:sz w:val="20"/>
          <w:szCs w:val="20"/>
        </w:rPr>
        <w:footnoteRef/>
      </w:r>
      <w:r w:rsidRPr="00C35A32">
        <w:rPr>
          <w:sz w:val="20"/>
          <w:szCs w:val="20"/>
        </w:rPr>
        <w:t xml:space="preserve"> Madison incorporation proposal, Aug. 18, 1787 (</w:t>
      </w:r>
      <w:r w:rsidRPr="00C35A32">
        <w:rPr>
          <w:i/>
          <w:iCs/>
          <w:sz w:val="20"/>
          <w:szCs w:val="20"/>
        </w:rPr>
        <w:t>2 Farrand</w:t>
      </w:r>
      <w:r w:rsidRPr="00C35A32">
        <w:rPr>
          <w:sz w:val="20"/>
          <w:szCs w:val="20"/>
        </w:rPr>
        <w:t>)</w:t>
      </w:r>
    </w:p>
  </w:footnote>
  <w:footnote w:id="3">
    <w:p w14:paraId="48E72F57" w14:textId="1E6E5EE0" w:rsidR="00C35A32" w:rsidRDefault="00C35A32">
      <w:pPr>
        <w:pStyle w:val="FootnoteText"/>
      </w:pPr>
      <w:r>
        <w:rPr>
          <w:rStyle w:val="FootnoteReference"/>
        </w:rPr>
        <w:footnoteRef/>
      </w:r>
      <w:r>
        <w:t xml:space="preserve"> </w:t>
      </w:r>
      <w:r w:rsidRPr="00C35A32">
        <w:t xml:space="preserve">Pinckney incorporation proposal, Aug. 18, </w:t>
      </w:r>
      <w:proofErr w:type="gramStart"/>
      <w:r w:rsidRPr="00C35A32">
        <w:t>1787</w:t>
      </w:r>
      <w:proofErr w:type="gramEnd"/>
      <w:r w:rsidR="005848F1">
        <w:t xml:space="preserve"> and</w:t>
      </w:r>
      <w:r w:rsidRPr="00C35A32">
        <w:t xml:space="preserve"> (</w:t>
      </w:r>
      <w:r w:rsidRPr="00C35A32">
        <w:rPr>
          <w:i/>
          <w:iCs/>
        </w:rPr>
        <w:t>2 Farrand</w:t>
      </w:r>
      <w:r w:rsidRPr="00C35A32">
        <w:t>)</w:t>
      </w:r>
    </w:p>
  </w:footnote>
  <w:footnote w:id="4">
    <w:p w14:paraId="383B1124" w14:textId="59B9F32A" w:rsidR="00C35A32" w:rsidRPr="00A83692" w:rsidRDefault="00C35A32" w:rsidP="00A83692">
      <w:pPr>
        <w:spacing w:after="0" w:line="240" w:lineRule="auto"/>
        <w:rPr>
          <w:sz w:val="20"/>
          <w:szCs w:val="20"/>
        </w:rPr>
      </w:pPr>
      <w:r>
        <w:rPr>
          <w:rStyle w:val="FootnoteReference"/>
        </w:rPr>
        <w:footnoteRef/>
      </w:r>
      <w:r>
        <w:t xml:space="preserve"> </w:t>
      </w:r>
      <w:r w:rsidRPr="00C35A32">
        <w:rPr>
          <w:sz w:val="20"/>
          <w:szCs w:val="20"/>
        </w:rPr>
        <w:t>Unanimous referral to Committee of Detail (</w:t>
      </w:r>
      <w:r w:rsidRPr="00C35A32">
        <w:rPr>
          <w:i/>
          <w:iCs/>
          <w:sz w:val="20"/>
          <w:szCs w:val="20"/>
        </w:rPr>
        <w:t>2 Farrand</w:t>
      </w:r>
      <w:r w:rsidRPr="00C35A32">
        <w:rPr>
          <w:sz w:val="20"/>
          <w:szCs w:val="20"/>
        </w:rPr>
        <w:t>)</w:t>
      </w:r>
    </w:p>
  </w:footnote>
  <w:footnote w:id="5">
    <w:p w14:paraId="1A2673FB" w14:textId="242A5550" w:rsidR="00C35A32" w:rsidRPr="00A83692" w:rsidRDefault="00C35A32" w:rsidP="00A83692">
      <w:pPr>
        <w:spacing w:after="0" w:line="240" w:lineRule="auto"/>
        <w:rPr>
          <w:sz w:val="20"/>
          <w:szCs w:val="20"/>
        </w:rPr>
      </w:pPr>
      <w:r>
        <w:rPr>
          <w:rStyle w:val="FootnoteReference"/>
        </w:rPr>
        <w:footnoteRef/>
      </w:r>
      <w:r>
        <w:t xml:space="preserve"> </w:t>
      </w:r>
      <w:r w:rsidRPr="00A83692">
        <w:rPr>
          <w:sz w:val="20"/>
          <w:szCs w:val="20"/>
        </w:rPr>
        <w:t>Committee of Detail draft omission (</w:t>
      </w:r>
      <w:r w:rsidRPr="00A83692">
        <w:rPr>
          <w:i/>
          <w:iCs/>
          <w:sz w:val="20"/>
          <w:szCs w:val="20"/>
        </w:rPr>
        <w:t>2 Farrand</w:t>
      </w:r>
      <w:r w:rsidRPr="00A83692">
        <w:rPr>
          <w:sz w:val="20"/>
          <w:szCs w:val="20"/>
        </w:rPr>
        <w:t>; Farrand editorial note)</w:t>
      </w:r>
    </w:p>
  </w:footnote>
  <w:footnote w:id="6">
    <w:p w14:paraId="32FEE477" w14:textId="3BE565C3" w:rsidR="00A83692" w:rsidRPr="00AD628A" w:rsidRDefault="00A83692" w:rsidP="00AD628A">
      <w:pPr>
        <w:tabs>
          <w:tab w:val="num" w:pos="720"/>
        </w:tabs>
        <w:spacing w:after="0" w:line="240" w:lineRule="auto"/>
        <w:rPr>
          <w:sz w:val="20"/>
          <w:szCs w:val="20"/>
        </w:rPr>
      </w:pPr>
      <w:r>
        <w:rPr>
          <w:rStyle w:val="FootnoteReference"/>
        </w:rPr>
        <w:footnoteRef/>
      </w:r>
      <w:r>
        <w:t xml:space="preserve"> </w:t>
      </w:r>
      <w:r w:rsidRPr="00C35A32">
        <w:rPr>
          <w:sz w:val="20"/>
          <w:szCs w:val="20"/>
        </w:rPr>
        <w:t>Pinckney veto proposal</w:t>
      </w:r>
      <w:r w:rsidR="005848F1">
        <w:rPr>
          <w:sz w:val="20"/>
          <w:szCs w:val="20"/>
        </w:rPr>
        <w:t>s</w:t>
      </w:r>
      <w:r w:rsidRPr="00C35A32">
        <w:rPr>
          <w:sz w:val="20"/>
          <w:szCs w:val="20"/>
        </w:rPr>
        <w:t xml:space="preserve">, Aug. 23, </w:t>
      </w:r>
      <w:proofErr w:type="gramStart"/>
      <w:r w:rsidRPr="00C35A32">
        <w:rPr>
          <w:sz w:val="20"/>
          <w:szCs w:val="20"/>
        </w:rPr>
        <w:t>1787</w:t>
      </w:r>
      <w:proofErr w:type="gramEnd"/>
      <w:r w:rsidRPr="00C35A32">
        <w:rPr>
          <w:sz w:val="20"/>
          <w:szCs w:val="20"/>
        </w:rPr>
        <w:t xml:space="preserve"> </w:t>
      </w:r>
      <w:r w:rsidR="005848F1">
        <w:rPr>
          <w:sz w:val="20"/>
          <w:szCs w:val="20"/>
        </w:rPr>
        <w:t xml:space="preserve">and June 8, 1787 </w:t>
      </w:r>
      <w:r w:rsidRPr="00C35A32">
        <w:rPr>
          <w:sz w:val="20"/>
          <w:szCs w:val="20"/>
        </w:rPr>
        <w:t>(</w:t>
      </w:r>
      <w:r w:rsidRPr="00C35A32">
        <w:rPr>
          <w:i/>
          <w:iCs/>
          <w:sz w:val="20"/>
          <w:szCs w:val="20"/>
        </w:rPr>
        <w:t>2 Farrand</w:t>
      </w:r>
      <w:r w:rsidRPr="00C35A32">
        <w:rPr>
          <w:sz w:val="20"/>
          <w:szCs w:val="20"/>
        </w:rPr>
        <w:t>)</w:t>
      </w:r>
    </w:p>
  </w:footnote>
  <w:footnote w:id="7">
    <w:p w14:paraId="207CD7FB" w14:textId="251BE655" w:rsidR="00A83692" w:rsidRPr="00A83692" w:rsidRDefault="00A83692" w:rsidP="00A83692">
      <w:pPr>
        <w:spacing w:after="0" w:line="240" w:lineRule="auto"/>
        <w:rPr>
          <w:sz w:val="20"/>
          <w:szCs w:val="20"/>
        </w:rPr>
      </w:pPr>
      <w:r>
        <w:rPr>
          <w:rStyle w:val="FootnoteReference"/>
        </w:rPr>
        <w:footnoteRef/>
      </w:r>
      <w:r>
        <w:t xml:space="preserve"> </w:t>
      </w:r>
      <w:r w:rsidRPr="00C35A32">
        <w:rPr>
          <w:sz w:val="20"/>
          <w:szCs w:val="20"/>
        </w:rPr>
        <w:t>Sherman objection (</w:t>
      </w:r>
      <w:r w:rsidRPr="00C35A32">
        <w:rPr>
          <w:i/>
          <w:iCs/>
          <w:sz w:val="20"/>
          <w:szCs w:val="20"/>
        </w:rPr>
        <w:t>2 Farrand</w:t>
      </w:r>
      <w:r w:rsidRPr="00C35A32">
        <w:rPr>
          <w:sz w:val="20"/>
          <w:szCs w:val="20"/>
        </w:rPr>
        <w:t>)</w:t>
      </w:r>
    </w:p>
  </w:footnote>
  <w:footnote w:id="8">
    <w:p w14:paraId="2180835D" w14:textId="455BC6D4" w:rsidR="00A83692" w:rsidRPr="00A83692" w:rsidRDefault="00A83692" w:rsidP="00A83692">
      <w:pPr>
        <w:spacing w:after="0" w:line="240" w:lineRule="auto"/>
        <w:rPr>
          <w:sz w:val="20"/>
          <w:szCs w:val="20"/>
        </w:rPr>
      </w:pPr>
      <w:r>
        <w:rPr>
          <w:rStyle w:val="FootnoteReference"/>
        </w:rPr>
        <w:footnoteRef/>
      </w:r>
      <w:r>
        <w:t xml:space="preserve"> </w:t>
      </w:r>
      <w:r w:rsidRPr="00C35A32">
        <w:rPr>
          <w:sz w:val="20"/>
          <w:szCs w:val="20"/>
        </w:rPr>
        <w:t>Ellsworth objection (</w:t>
      </w:r>
      <w:r w:rsidRPr="00C35A32">
        <w:rPr>
          <w:i/>
          <w:iCs/>
          <w:sz w:val="20"/>
          <w:szCs w:val="20"/>
        </w:rPr>
        <w:t>2 Farrand</w:t>
      </w:r>
      <w:r w:rsidRPr="00C35A32">
        <w:rPr>
          <w:sz w:val="20"/>
          <w:szCs w:val="20"/>
        </w:rPr>
        <w:t>)</w:t>
      </w:r>
    </w:p>
  </w:footnote>
  <w:footnote w:id="9">
    <w:p w14:paraId="632A536C" w14:textId="003A7615" w:rsidR="00A83692" w:rsidRPr="00A83692" w:rsidRDefault="00A83692" w:rsidP="00A83692">
      <w:pPr>
        <w:spacing w:after="0" w:line="240" w:lineRule="auto"/>
        <w:rPr>
          <w:sz w:val="20"/>
          <w:szCs w:val="20"/>
        </w:rPr>
      </w:pPr>
      <w:r>
        <w:rPr>
          <w:rStyle w:val="FootnoteReference"/>
        </w:rPr>
        <w:footnoteRef/>
      </w:r>
      <w:r>
        <w:t xml:space="preserve"> </w:t>
      </w:r>
      <w:r w:rsidRPr="00C35A32">
        <w:rPr>
          <w:sz w:val="20"/>
          <w:szCs w:val="20"/>
        </w:rPr>
        <w:t>Mason objection (</w:t>
      </w:r>
      <w:r w:rsidRPr="00C35A32">
        <w:rPr>
          <w:i/>
          <w:iCs/>
          <w:sz w:val="20"/>
          <w:szCs w:val="20"/>
        </w:rPr>
        <w:t>2 Farrand</w:t>
      </w:r>
      <w:r w:rsidRPr="00C35A32">
        <w:rPr>
          <w:sz w:val="20"/>
          <w:szCs w:val="20"/>
        </w:rPr>
        <w:t>)</w:t>
      </w:r>
    </w:p>
  </w:footnote>
  <w:footnote w:id="10">
    <w:p w14:paraId="7AF189DF" w14:textId="41E1D590" w:rsidR="00A83692" w:rsidRPr="00A83692" w:rsidRDefault="00A83692" w:rsidP="00A83692">
      <w:pPr>
        <w:spacing w:after="0" w:line="240" w:lineRule="auto"/>
        <w:rPr>
          <w:sz w:val="20"/>
          <w:szCs w:val="20"/>
        </w:rPr>
      </w:pPr>
      <w:r>
        <w:rPr>
          <w:rStyle w:val="FootnoteReference"/>
        </w:rPr>
        <w:footnoteRef/>
      </w:r>
      <w:r>
        <w:t xml:space="preserve"> </w:t>
      </w:r>
      <w:r w:rsidRPr="00C35A32">
        <w:rPr>
          <w:sz w:val="20"/>
          <w:szCs w:val="20"/>
        </w:rPr>
        <w:t>Rutledge “mere corporations” quote (</w:t>
      </w:r>
      <w:r w:rsidRPr="00C35A32">
        <w:rPr>
          <w:i/>
          <w:iCs/>
          <w:sz w:val="20"/>
          <w:szCs w:val="20"/>
        </w:rPr>
        <w:t>2 Farrand</w:t>
      </w:r>
      <w:r w:rsidRPr="00C35A32">
        <w:rPr>
          <w:sz w:val="20"/>
          <w:szCs w:val="20"/>
        </w:rPr>
        <w:t>)</w:t>
      </w:r>
    </w:p>
  </w:footnote>
  <w:footnote w:id="11">
    <w:p w14:paraId="0B53B4D5" w14:textId="492E9C34" w:rsidR="00A83692" w:rsidRPr="00A83692" w:rsidRDefault="00A83692" w:rsidP="00A83692">
      <w:pPr>
        <w:spacing w:after="0" w:line="240" w:lineRule="auto"/>
        <w:rPr>
          <w:sz w:val="20"/>
          <w:szCs w:val="20"/>
        </w:rPr>
      </w:pPr>
      <w:r>
        <w:rPr>
          <w:rStyle w:val="FootnoteReference"/>
        </w:rPr>
        <w:footnoteRef/>
      </w:r>
      <w:r>
        <w:t xml:space="preserve"> </w:t>
      </w:r>
      <w:r w:rsidRPr="00C35A32">
        <w:rPr>
          <w:sz w:val="20"/>
          <w:szCs w:val="20"/>
        </w:rPr>
        <w:t>Vote tally, Aug. 23 (</w:t>
      </w:r>
      <w:r w:rsidRPr="00C35A32">
        <w:rPr>
          <w:i/>
          <w:iCs/>
          <w:sz w:val="20"/>
          <w:szCs w:val="20"/>
        </w:rPr>
        <w:t>2 Farrand</w:t>
      </w:r>
      <w:r w:rsidRPr="00C35A32">
        <w:rPr>
          <w:sz w:val="20"/>
          <w:szCs w:val="20"/>
        </w:rPr>
        <w:t>)</w:t>
      </w:r>
    </w:p>
  </w:footnote>
  <w:footnote w:id="12">
    <w:p w14:paraId="29BBD64D" w14:textId="330CF1A8" w:rsidR="00A83692" w:rsidRPr="00A83692" w:rsidRDefault="00A83692" w:rsidP="00A83692">
      <w:pPr>
        <w:spacing w:after="0" w:line="240" w:lineRule="auto"/>
        <w:rPr>
          <w:sz w:val="20"/>
          <w:szCs w:val="20"/>
        </w:rPr>
      </w:pPr>
      <w:r>
        <w:rPr>
          <w:rStyle w:val="FootnoteReference"/>
        </w:rPr>
        <w:footnoteRef/>
      </w:r>
      <w:r>
        <w:t xml:space="preserve"> </w:t>
      </w:r>
      <w:r w:rsidRPr="00C35A32">
        <w:rPr>
          <w:sz w:val="20"/>
          <w:szCs w:val="20"/>
        </w:rPr>
        <w:t>Committee of Style creation &amp; membership (</w:t>
      </w:r>
      <w:r w:rsidRPr="00C35A32">
        <w:rPr>
          <w:i/>
          <w:iCs/>
          <w:sz w:val="20"/>
          <w:szCs w:val="20"/>
        </w:rPr>
        <w:t>2 Farrand</w:t>
      </w:r>
      <w:r w:rsidRPr="00C35A32">
        <w:rPr>
          <w:sz w:val="20"/>
          <w:szCs w:val="20"/>
        </w:rPr>
        <w:t>)</w:t>
      </w:r>
    </w:p>
  </w:footnote>
  <w:footnote w:id="13">
    <w:p w14:paraId="4B125080" w14:textId="691BC7CF" w:rsidR="00A60B90" w:rsidRDefault="00A60B90">
      <w:pPr>
        <w:pStyle w:val="FootnoteText"/>
      </w:pPr>
      <w:r>
        <w:rPr>
          <w:rStyle w:val="FootnoteReference"/>
        </w:rPr>
        <w:footnoteRef/>
      </w:r>
      <w:r>
        <w:t xml:space="preserve">  </w:t>
      </w:r>
      <w:r w:rsidRPr="00C35A32">
        <w:t>Franklin</w:t>
      </w:r>
      <w:r>
        <w:t xml:space="preserve"> </w:t>
      </w:r>
      <w:r w:rsidRPr="00C35A32">
        <w:t>motion,</w:t>
      </w:r>
      <w:r>
        <w:t xml:space="preserve"> Wilson second</w:t>
      </w:r>
      <w:r w:rsidRPr="00C35A32">
        <w:t xml:space="preserve"> Sept. 14 (</w:t>
      </w:r>
      <w:r w:rsidRPr="00C35A32">
        <w:rPr>
          <w:i/>
          <w:iCs/>
        </w:rPr>
        <w:t>2 Farrand</w:t>
      </w:r>
      <w:r w:rsidRPr="00C35A32">
        <w:t>)</w:t>
      </w:r>
    </w:p>
  </w:footnote>
  <w:footnote w:id="14">
    <w:p w14:paraId="02AA139B" w14:textId="140CD0BF" w:rsidR="00A60B90" w:rsidRDefault="00A60B90">
      <w:pPr>
        <w:pStyle w:val="FootnoteText"/>
      </w:pPr>
      <w:r>
        <w:rPr>
          <w:rStyle w:val="FootnoteReference"/>
        </w:rPr>
        <w:footnoteRef/>
      </w:r>
      <w:r>
        <w:t xml:space="preserve">  Sherman objection, </w:t>
      </w:r>
      <w:r w:rsidRPr="00C35A32">
        <w:t>Sept. 14 (</w:t>
      </w:r>
      <w:r w:rsidRPr="00C35A32">
        <w:rPr>
          <w:i/>
          <w:iCs/>
        </w:rPr>
        <w:t>2 Farrand</w:t>
      </w:r>
      <w:r w:rsidRPr="00C35A32">
        <w:t>)</w:t>
      </w:r>
    </w:p>
  </w:footnote>
  <w:footnote w:id="15">
    <w:p w14:paraId="56C25AF2" w14:textId="1C86CE48" w:rsidR="005E5BA3" w:rsidRDefault="005E5BA3">
      <w:pPr>
        <w:pStyle w:val="FootnoteText"/>
      </w:pPr>
      <w:r>
        <w:rPr>
          <w:rStyle w:val="FootnoteReference"/>
        </w:rPr>
        <w:footnoteRef/>
      </w:r>
      <w:r>
        <w:t xml:space="preserve">  Presidents opposing federal internal improvements repeatedly described the same incentive distortion identified by Sherman—warning that national funding of geographically concentrated projects would encourage improvidence, sectional bargaining, and dependency on the public treasury. See, e.g., Andrew Jackson, </w:t>
      </w:r>
      <w:r>
        <w:rPr>
          <w:rStyle w:val="Emphasis"/>
        </w:rPr>
        <w:t>Veto Message</w:t>
      </w:r>
      <w:r>
        <w:t xml:space="preserve"> (July 10, 1832) (condemning systems that “grant exclusive privileges” and induce private interests to seek public subsidy); James K. Polk, </w:t>
      </w:r>
      <w:r>
        <w:rPr>
          <w:rStyle w:val="Emphasis"/>
        </w:rPr>
        <w:t>Veto Message</w:t>
      </w:r>
      <w:r>
        <w:t xml:space="preserve"> (Dec. 15, 1847) (warning of a “disreputable scramble for the public money” driven by sectional combinations); John Tyler, </w:t>
      </w:r>
      <w:r>
        <w:rPr>
          <w:rStyle w:val="Emphasis"/>
        </w:rPr>
        <w:t>Veto Message</w:t>
      </w:r>
      <w:r>
        <w:t xml:space="preserve"> (Aug. 9, 1842) (cautioning that such measures invite favoritism and abuse by taxing the many to benefit the few). In modern terms, these objections describe a form of moral hazard: the separation of benefit from cost in a manner that undermines fiscal discipline and responsible self-government.</w:t>
      </w:r>
    </w:p>
  </w:footnote>
  <w:footnote w:id="16">
    <w:p w14:paraId="5B8ADA3A" w14:textId="0EC61EDE" w:rsidR="00A83692" w:rsidRPr="00A60B90" w:rsidRDefault="00A83692" w:rsidP="002F3C33">
      <w:pPr>
        <w:spacing w:after="0" w:line="240" w:lineRule="auto"/>
        <w:rPr>
          <w:sz w:val="20"/>
          <w:szCs w:val="20"/>
        </w:rPr>
      </w:pPr>
      <w:r w:rsidRPr="00A60B90">
        <w:rPr>
          <w:rStyle w:val="FootnoteReference"/>
          <w:sz w:val="20"/>
          <w:szCs w:val="20"/>
        </w:rPr>
        <w:footnoteRef/>
      </w:r>
      <w:r w:rsidRPr="00A60B90">
        <w:rPr>
          <w:sz w:val="20"/>
          <w:szCs w:val="20"/>
        </w:rPr>
        <w:t xml:space="preserve"> </w:t>
      </w:r>
      <w:r w:rsidR="00A60B90">
        <w:rPr>
          <w:sz w:val="20"/>
          <w:szCs w:val="20"/>
        </w:rPr>
        <w:t xml:space="preserve">Madison motion, Randolph second, </w:t>
      </w:r>
      <w:r w:rsidR="00A60B90" w:rsidRPr="00C35A32">
        <w:rPr>
          <w:sz w:val="20"/>
          <w:szCs w:val="20"/>
        </w:rPr>
        <w:t>Sept. 14 (</w:t>
      </w:r>
      <w:r w:rsidR="00A60B90" w:rsidRPr="00C35A32">
        <w:rPr>
          <w:i/>
          <w:iCs/>
          <w:sz w:val="20"/>
          <w:szCs w:val="20"/>
        </w:rPr>
        <w:t>2 Farrand</w:t>
      </w:r>
      <w:r w:rsidR="00A60B90" w:rsidRPr="00C35A32">
        <w:rPr>
          <w:sz w:val="20"/>
          <w:szCs w:val="20"/>
        </w:rPr>
        <w:t>)</w:t>
      </w:r>
    </w:p>
  </w:footnote>
  <w:footnote w:id="17">
    <w:p w14:paraId="4EE44159" w14:textId="181318DE" w:rsidR="00C93FF4" w:rsidRDefault="00C93FF4" w:rsidP="00C93FF4">
      <w:pPr>
        <w:pStyle w:val="FootnoteText"/>
      </w:pPr>
      <w:r>
        <w:rPr>
          <w:rStyle w:val="FootnoteReference"/>
        </w:rPr>
        <w:footnoteRef/>
      </w:r>
      <w:r>
        <w:t xml:space="preserve">  Committee memberships, </w:t>
      </w:r>
      <w:r w:rsidRPr="00C93FF4">
        <w:t>Id. (Committee of Detail appointment, July 24, 1787); id. (Committee of Style appointment, Sept. 8, 1787).</w:t>
      </w:r>
    </w:p>
  </w:footnote>
  <w:footnote w:id="18">
    <w:p w14:paraId="32CB28F9" w14:textId="26F16DD5" w:rsidR="00C93FF4" w:rsidRDefault="00C93FF4">
      <w:pPr>
        <w:pStyle w:val="FootnoteText"/>
      </w:pPr>
      <w:r>
        <w:rPr>
          <w:rStyle w:val="FootnoteReference"/>
        </w:rPr>
        <w:footnoteRef/>
      </w:r>
      <w:r>
        <w:t xml:space="preserve">  Rufus King’s objections, Id. (remarks of Rufus King, Sept. 14, 1787)</w:t>
      </w:r>
    </w:p>
  </w:footnote>
  <w:footnote w:id="19">
    <w:p w14:paraId="2FF399EB" w14:textId="0F23F006" w:rsidR="00D73098" w:rsidRDefault="00D73098">
      <w:pPr>
        <w:pStyle w:val="FootnoteText"/>
      </w:pPr>
      <w:r>
        <w:rPr>
          <w:rStyle w:val="FootnoteReference"/>
        </w:rPr>
        <w:footnoteRef/>
      </w:r>
      <w:r>
        <w:t xml:space="preserve">  James Wilson’s support of motions, Id. (remarks of James Wilson, Sept. 14, 1787)</w:t>
      </w:r>
    </w:p>
  </w:footnote>
  <w:footnote w:id="20">
    <w:p w14:paraId="1C8A2370" w14:textId="695D8120" w:rsidR="00D73098" w:rsidRDefault="00D73098">
      <w:pPr>
        <w:pStyle w:val="FootnoteText"/>
      </w:pPr>
      <w:r>
        <w:rPr>
          <w:rStyle w:val="FootnoteReference"/>
        </w:rPr>
        <w:footnoteRef/>
      </w:r>
      <w:r>
        <w:t xml:space="preserve"> George Mason’s limiting motion, Id. (remarks of </w:t>
      </w:r>
      <w:r w:rsidR="00AB1EF4">
        <w:t>George Mason)</w:t>
      </w:r>
    </w:p>
  </w:footnote>
  <w:footnote w:id="21">
    <w:p w14:paraId="2EFC43AE" w14:textId="6CBA35D1" w:rsidR="00E26CA1" w:rsidRPr="00E26CA1" w:rsidRDefault="00E26CA1" w:rsidP="00E26CA1">
      <w:pPr>
        <w:spacing w:after="0" w:line="240" w:lineRule="auto"/>
        <w:rPr>
          <w:sz w:val="20"/>
          <w:szCs w:val="20"/>
        </w:rPr>
      </w:pPr>
      <w:r>
        <w:rPr>
          <w:rStyle w:val="FootnoteReference"/>
        </w:rPr>
        <w:footnoteRef/>
      </w:r>
      <w:r>
        <w:t xml:space="preserve"> </w:t>
      </w:r>
      <w:r w:rsidRPr="00C35A32">
        <w:rPr>
          <w:sz w:val="20"/>
          <w:szCs w:val="20"/>
        </w:rPr>
        <w:t>Vote tally, Sept. 14 (</w:t>
      </w:r>
      <w:r w:rsidRPr="00C35A32">
        <w:rPr>
          <w:i/>
          <w:iCs/>
          <w:sz w:val="20"/>
          <w:szCs w:val="20"/>
        </w:rPr>
        <w:t>2 Farrand</w:t>
      </w:r>
      <w:r w:rsidRPr="00C35A32">
        <w:rPr>
          <w:sz w:val="20"/>
          <w:szCs w:val="20"/>
        </w:rPr>
        <w:t>)</w:t>
      </w:r>
    </w:p>
  </w:footnote>
  <w:footnote w:id="22">
    <w:p w14:paraId="7F16776E" w14:textId="68AEB49A" w:rsidR="00E26CA1" w:rsidRPr="00E26CA1" w:rsidRDefault="00E26CA1" w:rsidP="00E26CA1">
      <w:pPr>
        <w:spacing w:after="0" w:line="240" w:lineRule="auto"/>
        <w:rPr>
          <w:sz w:val="20"/>
          <w:szCs w:val="20"/>
        </w:rPr>
      </w:pPr>
      <w:r>
        <w:rPr>
          <w:rStyle w:val="FootnoteReference"/>
        </w:rPr>
        <w:footnoteRef/>
      </w:r>
      <w:r>
        <w:t xml:space="preserve"> </w:t>
      </w:r>
      <w:r w:rsidRPr="00C35A32">
        <w:rPr>
          <w:sz w:val="20"/>
          <w:szCs w:val="20"/>
        </w:rPr>
        <w:t>Madison “fell of course” quote (</w:t>
      </w:r>
      <w:r w:rsidRPr="00C35A32">
        <w:rPr>
          <w:i/>
          <w:iCs/>
          <w:sz w:val="20"/>
          <w:szCs w:val="20"/>
        </w:rPr>
        <w:t>2 Farrand</w:t>
      </w:r>
      <w:r w:rsidRPr="00C35A32">
        <w:rPr>
          <w:sz w:val="20"/>
          <w:szCs w:val="20"/>
        </w:rPr>
        <w:t>)</w:t>
      </w:r>
    </w:p>
  </w:footnote>
  <w:footnote w:id="23">
    <w:p w14:paraId="066B77DD" w14:textId="56666055" w:rsidR="0098196F" w:rsidRPr="00086E0A" w:rsidRDefault="0098196F" w:rsidP="00086E0A">
      <w:pPr>
        <w:spacing w:after="0" w:line="240" w:lineRule="auto"/>
        <w:rPr>
          <w:rFonts w:ascii="Cambria" w:hAnsi="Cambria"/>
          <w:sz w:val="20"/>
          <w:szCs w:val="20"/>
        </w:rPr>
      </w:pPr>
      <w:r>
        <w:rPr>
          <w:rStyle w:val="FootnoteReference"/>
        </w:rPr>
        <w:footnoteRef/>
      </w:r>
      <w:r>
        <w:t xml:space="preserve"> </w:t>
      </w:r>
      <w:r w:rsidR="00086E0A" w:rsidRPr="00086E0A">
        <w:rPr>
          <w:sz w:val="20"/>
          <w:szCs w:val="20"/>
        </w:rPr>
        <w:t xml:space="preserve">Several delegates who participated in, or presided over, the Convention were contemporaneously connected to banking and internal-improvement enterprises, including canal projects. George Washington served as president and a principal investor of the </w:t>
      </w:r>
      <w:proofErr w:type="spellStart"/>
      <w:r w:rsidR="00086E0A" w:rsidRPr="00086E0A">
        <w:rPr>
          <w:sz w:val="20"/>
          <w:szCs w:val="20"/>
        </w:rPr>
        <w:t>Potowmack</w:t>
      </w:r>
      <w:proofErr w:type="spellEnd"/>
      <w:r w:rsidR="00086E0A" w:rsidRPr="00086E0A">
        <w:rPr>
          <w:sz w:val="20"/>
          <w:szCs w:val="20"/>
        </w:rPr>
        <w:t xml:space="preserve"> Company, which sought to improve navigation along the Potomac River and experienced persistent financial difficulties during the 1780s, including delinquent state subscriptions. See Ron Chernow, </w:t>
      </w:r>
      <w:r w:rsidR="00086E0A" w:rsidRPr="00086E0A">
        <w:rPr>
          <w:rStyle w:val="Emphasis"/>
          <w:sz w:val="20"/>
          <w:szCs w:val="20"/>
        </w:rPr>
        <w:t>Washington: A Life</w:t>
      </w:r>
      <w:r w:rsidR="00086E0A" w:rsidRPr="00086E0A">
        <w:rPr>
          <w:sz w:val="20"/>
          <w:szCs w:val="20"/>
        </w:rPr>
        <w:t xml:space="preserve"> 429–35 (2010); James Thomas Flexner, </w:t>
      </w:r>
      <w:r w:rsidR="00086E0A" w:rsidRPr="00086E0A">
        <w:rPr>
          <w:rStyle w:val="Emphasis"/>
          <w:sz w:val="20"/>
          <w:szCs w:val="20"/>
        </w:rPr>
        <w:t>George Washington and the New Nation</w:t>
      </w:r>
      <w:r w:rsidR="00086E0A" w:rsidRPr="00086E0A">
        <w:rPr>
          <w:sz w:val="20"/>
          <w:szCs w:val="20"/>
        </w:rPr>
        <w:t xml:space="preserve"> 210–18 (1970); </w:t>
      </w:r>
      <w:r w:rsidR="00086E0A" w:rsidRPr="00086E0A">
        <w:rPr>
          <w:rStyle w:val="Emphasis"/>
          <w:sz w:val="20"/>
          <w:szCs w:val="20"/>
        </w:rPr>
        <w:t>The Papers of George Washington</w:t>
      </w:r>
      <w:r w:rsidR="00086E0A" w:rsidRPr="00086E0A">
        <w:rPr>
          <w:sz w:val="20"/>
          <w:szCs w:val="20"/>
        </w:rPr>
        <w:t xml:space="preserve">, Confederation Series. Benjamin Franklin had longstanding involvement in banking and credit institutions, and several Pennsylvania delegates were commercially oriented proponents of internal improvements. See Benjamin Franklin, </w:t>
      </w:r>
      <w:r w:rsidR="00086E0A" w:rsidRPr="00086E0A">
        <w:rPr>
          <w:rStyle w:val="Emphasis"/>
          <w:sz w:val="20"/>
          <w:szCs w:val="20"/>
        </w:rPr>
        <w:t>Autobiography</w:t>
      </w:r>
      <w:r w:rsidR="00086E0A" w:rsidRPr="00086E0A">
        <w:rPr>
          <w:sz w:val="20"/>
          <w:szCs w:val="20"/>
        </w:rPr>
        <w:t xml:space="preserve">; Robert E. Wright, </w:t>
      </w:r>
      <w:r w:rsidR="00086E0A" w:rsidRPr="00086E0A">
        <w:rPr>
          <w:rStyle w:val="Emphasis"/>
          <w:sz w:val="20"/>
          <w:szCs w:val="20"/>
        </w:rPr>
        <w:t>The First Wall Street</w:t>
      </w:r>
      <w:r w:rsidR="00086E0A" w:rsidRPr="00086E0A">
        <w:rPr>
          <w:sz w:val="20"/>
          <w:szCs w:val="20"/>
        </w:rPr>
        <w:t xml:space="preserve"> 45–58 (2005). John Rutledge—chair of the Committee of Detail—served as vice president of the Santee Canal Company. See Farrand, </w:t>
      </w:r>
      <w:r w:rsidR="00086E0A" w:rsidRPr="00086E0A">
        <w:rPr>
          <w:rStyle w:val="Emphasis"/>
          <w:sz w:val="20"/>
          <w:szCs w:val="20"/>
        </w:rPr>
        <w:t>Records of the Federal Convention of 1787</w:t>
      </w:r>
      <w:r w:rsidR="00086E0A" w:rsidRPr="00086E0A">
        <w:rPr>
          <w:sz w:val="20"/>
          <w:szCs w:val="20"/>
        </w:rPr>
        <w:t xml:space="preserve">; Walter Edgar, </w:t>
      </w:r>
      <w:r w:rsidR="00086E0A" w:rsidRPr="00086E0A">
        <w:rPr>
          <w:rStyle w:val="Emphasis"/>
          <w:sz w:val="20"/>
          <w:szCs w:val="20"/>
        </w:rPr>
        <w:t>South Carolina: A History</w:t>
      </w:r>
      <w:r w:rsidR="00086E0A" w:rsidRPr="00086E0A">
        <w:rPr>
          <w:sz w:val="20"/>
          <w:szCs w:val="20"/>
        </w:rPr>
        <w:t xml:space="preserve"> 204–06 (1998). These affiliations underscore that the Convention’s refusal to authorize federal funding or chartering of such enterprises occurred despite the presence of knowledgeable and interested advocates.</w:t>
      </w:r>
    </w:p>
  </w:footnote>
  <w:footnote w:id="24">
    <w:p w14:paraId="4A7BD352" w14:textId="71CD0C79" w:rsidR="00786406" w:rsidRDefault="00786406">
      <w:pPr>
        <w:pStyle w:val="FootnoteText"/>
      </w:pPr>
      <w:r>
        <w:rPr>
          <w:rStyle w:val="FootnoteReference"/>
        </w:rPr>
        <w:footnoteRef/>
      </w:r>
      <w:r>
        <w:t xml:space="preserve"> </w:t>
      </w:r>
      <w:r>
        <w:t xml:space="preserve">In the House debates, Madison argued that the proposed incorporation exceeded Congress’s enumerated powers and that such authority had been “refused in the federal convention.” </w:t>
      </w:r>
      <w:r>
        <w:rPr>
          <w:rStyle w:val="Emphasis"/>
        </w:rPr>
        <w:t>Annals of Cong.</w:t>
      </w:r>
      <w:r>
        <w:t xml:space="preserve"> 1st Cong., 3d Sess. 1947–50 (1791) (statement of Rep. Madison). Other House members who had served as Convention delegates supported the bill on the ground that incorporation was an incidental or necessary means of executing enumerated powers. </w:t>
      </w:r>
      <w:r>
        <w:rPr>
          <w:rStyle w:val="Emphasis"/>
        </w:rPr>
        <w:t>Id.</w:t>
      </w:r>
      <w:r>
        <w:t xml:space="preserve"> at 1952 (statement of Rep. Gerry) (describing the bank as “necessary” to the collection of taxes); </w:t>
      </w:r>
      <w:r>
        <w:rPr>
          <w:rStyle w:val="Emphasis"/>
        </w:rPr>
        <w:t>id.</w:t>
      </w:r>
      <w:r>
        <w:t xml:space="preserve"> at 1955 (statement of Rep. Sherman) (characterizing incorporation as incidental to borrowing and necessary-and-proper powers).</w:t>
      </w:r>
    </w:p>
  </w:footnote>
  <w:footnote w:id="25">
    <w:p w14:paraId="13F3231E" w14:textId="53C3EE22" w:rsidR="00B27DDE" w:rsidRDefault="00B27DDE">
      <w:pPr>
        <w:pStyle w:val="FootnoteText"/>
      </w:pPr>
      <w:r>
        <w:rPr>
          <w:rStyle w:val="FootnoteReference"/>
        </w:rPr>
        <w:footnoteRef/>
      </w:r>
      <w:r>
        <w:t xml:space="preserve"> “Enclosure: Opinion on the Constitutionality of the Bank, Feb. 12, 1791,” </w:t>
      </w:r>
      <w:r w:rsidRPr="0088473B">
        <w:rPr>
          <w:i/>
          <w:iCs/>
        </w:rPr>
        <w:t>Founders Online, </w:t>
      </w:r>
      <w:r w:rsidRPr="0088473B">
        <w:t>National Archives</w:t>
      </w:r>
      <w:r>
        <w:t>.</w:t>
      </w:r>
    </w:p>
  </w:footnote>
  <w:footnote w:id="26">
    <w:p w14:paraId="19C5DDD1" w14:textId="11215F50" w:rsidR="00B27DDE" w:rsidRDefault="00B27DDE">
      <w:pPr>
        <w:pStyle w:val="FootnoteText"/>
      </w:pPr>
      <w:r>
        <w:rPr>
          <w:rStyle w:val="FootnoteReference"/>
        </w:rPr>
        <w:footnoteRef/>
      </w:r>
      <w:r>
        <w:t xml:space="preserve"> “Enclosure: Additional Considerations on the Bank Bill, Feb. 12, 1791,” </w:t>
      </w:r>
      <w:r w:rsidRPr="0088473B">
        <w:rPr>
          <w:i/>
          <w:iCs/>
        </w:rPr>
        <w:t>Founders Online, </w:t>
      </w:r>
      <w:r w:rsidRPr="0088473B">
        <w:t>National Archives</w:t>
      </w:r>
      <w:r>
        <w:t>.</w:t>
      </w:r>
    </w:p>
  </w:footnote>
  <w:footnote w:id="27">
    <w:p w14:paraId="6ADB085C" w14:textId="07087D54" w:rsidR="00E26CA1" w:rsidRPr="00E26CA1" w:rsidRDefault="00E26CA1" w:rsidP="00E26CA1">
      <w:pPr>
        <w:spacing w:after="0" w:line="240" w:lineRule="auto"/>
        <w:rPr>
          <w:sz w:val="20"/>
          <w:szCs w:val="20"/>
        </w:rPr>
      </w:pPr>
      <w:r>
        <w:rPr>
          <w:rStyle w:val="FootnoteReference"/>
        </w:rPr>
        <w:footnoteRef/>
      </w:r>
      <w:r>
        <w:t xml:space="preserve"> </w:t>
      </w:r>
      <w:r w:rsidR="00EF4D50">
        <w:t>“</w:t>
      </w:r>
      <w:r w:rsidR="00EF4D50" w:rsidRPr="00EF4D50">
        <w:rPr>
          <w:sz w:val="20"/>
          <w:szCs w:val="20"/>
        </w:rPr>
        <w:t xml:space="preserve">Thomas </w:t>
      </w:r>
      <w:r w:rsidRPr="00C35A32">
        <w:rPr>
          <w:sz w:val="20"/>
          <w:szCs w:val="20"/>
        </w:rPr>
        <w:t xml:space="preserve">Jefferson </w:t>
      </w:r>
      <w:r w:rsidR="00EF4D50">
        <w:rPr>
          <w:sz w:val="20"/>
          <w:szCs w:val="20"/>
        </w:rPr>
        <w:t>to George Washington</w:t>
      </w:r>
      <w:r w:rsidRPr="00C35A32">
        <w:rPr>
          <w:sz w:val="20"/>
          <w:szCs w:val="20"/>
        </w:rPr>
        <w:t>, Feb. 15, 1791</w:t>
      </w:r>
      <w:r w:rsidR="00EF4D50">
        <w:rPr>
          <w:sz w:val="20"/>
          <w:szCs w:val="20"/>
        </w:rPr>
        <w:t xml:space="preserve">,” </w:t>
      </w:r>
      <w:r w:rsidR="00EF4D50" w:rsidRPr="0088473B">
        <w:rPr>
          <w:i/>
          <w:iCs/>
          <w:sz w:val="20"/>
          <w:szCs w:val="20"/>
        </w:rPr>
        <w:t>Founders Online, </w:t>
      </w:r>
      <w:r w:rsidR="00EF4D50" w:rsidRPr="0088473B">
        <w:rPr>
          <w:sz w:val="20"/>
          <w:szCs w:val="20"/>
        </w:rPr>
        <w:t>National Archives</w:t>
      </w:r>
      <w:r w:rsidR="00EF4D50">
        <w:t>.</w:t>
      </w:r>
    </w:p>
  </w:footnote>
  <w:footnote w:id="28">
    <w:p w14:paraId="3614D3BD" w14:textId="556D43E2" w:rsidR="0088473B" w:rsidRDefault="0088473B">
      <w:pPr>
        <w:pStyle w:val="FootnoteText"/>
      </w:pPr>
      <w:r>
        <w:rPr>
          <w:rStyle w:val="FootnoteReference"/>
        </w:rPr>
        <w:footnoteRef/>
      </w:r>
      <w:r>
        <w:t xml:space="preserve"> </w:t>
      </w:r>
      <w:r w:rsidRPr="0088473B">
        <w:t>“George Washington to Alexander Hamilton, 16 February 1791,” </w:t>
      </w:r>
      <w:r w:rsidRPr="0088473B">
        <w:rPr>
          <w:i/>
          <w:iCs/>
        </w:rPr>
        <w:t>Founders Online, </w:t>
      </w:r>
      <w:r w:rsidRPr="0088473B">
        <w:t>National Archives</w:t>
      </w:r>
      <w:r w:rsidR="00EF4D50">
        <w:t>.</w:t>
      </w:r>
      <w:r w:rsidRPr="0088473B">
        <w:t xml:space="preserve"> </w:t>
      </w:r>
    </w:p>
  </w:footnote>
  <w:footnote w:id="29">
    <w:p w14:paraId="79A7CDA2" w14:textId="5E08D2C7" w:rsidR="00AF5016" w:rsidRDefault="00AF5016">
      <w:pPr>
        <w:pStyle w:val="FootnoteText"/>
      </w:pPr>
      <w:r>
        <w:rPr>
          <w:rStyle w:val="FootnoteReference"/>
        </w:rPr>
        <w:footnoteRef/>
      </w:r>
      <w:r>
        <w:t xml:space="preserve"> </w:t>
      </w:r>
      <w:r w:rsidR="0088473B">
        <w:t xml:space="preserve"> </w:t>
      </w:r>
      <w:r w:rsidR="0088473B" w:rsidRPr="0088473B">
        <w:t>“James Madison to George Washington, 21 February 1791,” </w:t>
      </w:r>
      <w:r w:rsidR="0088473B" w:rsidRPr="0088473B">
        <w:rPr>
          <w:i/>
          <w:iCs/>
        </w:rPr>
        <w:t>Founders Online, </w:t>
      </w:r>
      <w:r w:rsidR="0088473B" w:rsidRPr="0088473B">
        <w:t>National Archives</w:t>
      </w:r>
      <w:r w:rsidR="00EF4D50">
        <w:t>.</w:t>
      </w:r>
      <w:r w:rsidR="0088473B" w:rsidRPr="0088473B">
        <w:t xml:space="preserve"> </w:t>
      </w:r>
    </w:p>
  </w:footnote>
  <w:footnote w:id="30">
    <w:p w14:paraId="60985A79" w14:textId="0C54538E" w:rsidR="0099485E" w:rsidRDefault="0099485E">
      <w:pPr>
        <w:pStyle w:val="FootnoteText"/>
      </w:pPr>
      <w:r>
        <w:rPr>
          <w:rStyle w:val="FootnoteReference"/>
        </w:rPr>
        <w:footnoteRef/>
      </w:r>
      <w:r>
        <w:t xml:space="preserve">  </w:t>
      </w:r>
      <w:r w:rsidRPr="0099485E">
        <w:t>“Alexander Hamilton to George Washington, 23 February 1791,” </w:t>
      </w:r>
      <w:r w:rsidRPr="0099485E">
        <w:rPr>
          <w:i/>
          <w:iCs/>
        </w:rPr>
        <w:t>Founders Online, </w:t>
      </w:r>
      <w:r w:rsidRPr="0099485E">
        <w:t>National Archives</w:t>
      </w:r>
      <w:r w:rsidR="00EF4D50">
        <w:t>.</w:t>
      </w:r>
    </w:p>
  </w:footnote>
  <w:footnote w:id="31">
    <w:p w14:paraId="78E21D4E" w14:textId="6B222543" w:rsidR="00773F7F" w:rsidRDefault="00773F7F">
      <w:pPr>
        <w:pStyle w:val="FootnoteText"/>
      </w:pPr>
      <w:r>
        <w:rPr>
          <w:rStyle w:val="FootnoteReference"/>
        </w:rPr>
        <w:footnoteRef/>
      </w:r>
      <w:r>
        <w:t xml:space="preserve"> </w:t>
      </w:r>
      <w:r>
        <w:t xml:space="preserve">The methodological move described here extended beyond Hamilton. During Senate consideration of the Bank Bill, several Senators who had served as delegates to the Constitutional Convention—and who were thus unusually well positioned to know of the Convention’s late-stage refusals—voted in favor of the measure. On January 13, 1791, the Senate voted 11–10 to extend the Bank’s charter to March 4, 1815; eight of the eleven Senators voting in favor had been Convention delegates, and six of those eight were present for the September 14, </w:t>
      </w:r>
      <w:proofErr w:type="gramStart"/>
      <w:r>
        <w:t>1787</w:t>
      </w:r>
      <w:proofErr w:type="gramEnd"/>
      <w:r>
        <w:t xml:space="preserve"> debate concerning the proposed power to fund canals and the related proposal to grant charters of incorporation. Among the Senators voting in favor were William Samuel Johnson and Rufus King, both members of the Committee of Style, as well as Oliver Ellsworth, a member of the Committee of Detail. See </w:t>
      </w:r>
      <w:r>
        <w:rPr>
          <w:rStyle w:val="Emphasis"/>
        </w:rPr>
        <w:t>Annals of Cong.</w:t>
      </w:r>
      <w:r>
        <w:t xml:space="preserve"> 1st Cong., 3d Sess. 1940–41 (1791); </w:t>
      </w:r>
      <w:r>
        <w:rPr>
          <w:rStyle w:val="Emphasis"/>
        </w:rPr>
        <w:t>see also</w:t>
      </w:r>
      <w:r>
        <w:t xml:space="preserve"> 2 </w:t>
      </w:r>
      <w:r>
        <w:rPr>
          <w:rStyle w:val="Emphasis"/>
        </w:rPr>
        <w:t>The Records of the Federal Convention of 1787</w:t>
      </w:r>
      <w:r>
        <w:t xml:space="preserve"> 615–16 (Max Farrand ed., rev. ed. 1937). These votes do not suggest ignorance of the Convention’s </w:t>
      </w:r>
      <w:proofErr w:type="gramStart"/>
      <w:r>
        <w:t>refusals, but</w:t>
      </w:r>
      <w:proofErr w:type="gramEnd"/>
      <w:r>
        <w:t xml:space="preserve"> rather reflect the same methodological division that surfaced in the Bank controversy: whether post-enumeration refusal constrains later implication.</w:t>
      </w:r>
    </w:p>
  </w:footnote>
  <w:footnote w:id="32">
    <w:p w14:paraId="0FD6D0AF" w14:textId="70D99F58" w:rsidR="005E5BA3" w:rsidRDefault="005E5BA3">
      <w:pPr>
        <w:pStyle w:val="FootnoteText"/>
      </w:pPr>
      <w:r>
        <w:rPr>
          <w:rStyle w:val="FootnoteReference"/>
        </w:rPr>
        <w:footnoteRef/>
      </w:r>
      <w:r>
        <w:t xml:space="preserve">  </w:t>
      </w:r>
      <w:r w:rsidR="009447D0">
        <w:t>Hamilton’s defense of the Bank Bill reframed incorporation as an indispensable means through which a sovereign government might execute its enumerated powers, rather than as a special grant of privilege insulated from market discipline</w:t>
      </w:r>
      <w:r w:rsidR="00F60AF0">
        <w:t xml:space="preserve"> (arguing that incorporation is an “ordinary means” of executing enumerated powers rather than an independent object of sovereignty)</w:t>
      </w:r>
      <w:r>
        <w:t>. Later critics would argue that this move obscured the incentive effects of federally chartered institutions, particularly where profits were privatized while risks were diffused through public credit or political support. Nineteenth-century opponents of national banks and internal improvements repeatedly warned that such arrangements encouraged dependence on federal favor, speculative behavior, and the socialization of loss. In modern terms, these objections anticipate institutional moral hazard: the separation of decision-making authority and risk from responsibility for cost, enabled by federal incorporation and implied powers.</w:t>
      </w:r>
    </w:p>
  </w:footnote>
  <w:footnote w:id="33">
    <w:p w14:paraId="02A0B691" w14:textId="5F704123" w:rsidR="009737E7" w:rsidRDefault="009737E7">
      <w:pPr>
        <w:pStyle w:val="FootnoteText"/>
      </w:pPr>
      <w:r>
        <w:rPr>
          <w:rStyle w:val="FootnoteReference"/>
        </w:rPr>
        <w:footnoteRef/>
      </w:r>
      <w:r>
        <w:t xml:space="preserve">  </w:t>
      </w:r>
      <w:r w:rsidRPr="00C35A32">
        <w:t>Publication of Madison’s Notes (1840; Gilpin edition)</w:t>
      </w:r>
    </w:p>
  </w:footnote>
  <w:footnote w:id="34">
    <w:p w14:paraId="1FF548C4" w14:textId="404316D3" w:rsidR="009737E7" w:rsidRDefault="009737E7">
      <w:pPr>
        <w:pStyle w:val="FootnoteText"/>
      </w:pPr>
      <w:r>
        <w:rPr>
          <w:rStyle w:val="FootnoteReference"/>
        </w:rPr>
        <w:footnoteRef/>
      </w:r>
      <w:r>
        <w:t xml:space="preserve"> </w:t>
      </w:r>
      <w:r w:rsidRPr="00760A0B">
        <w:rPr>
          <w:i/>
          <w:iCs/>
        </w:rPr>
        <w:t>McCulloch v. Maryland</w:t>
      </w:r>
      <w:r>
        <w:t>, 17 U.S. 4 Wheat.</w:t>
      </w:r>
      <w:r w:rsidR="00760A0B">
        <w:t xml:space="preserve"> 316 316 (1819)</w:t>
      </w:r>
    </w:p>
  </w:footnote>
  <w:footnote w:id="35">
    <w:p w14:paraId="77EDC95E" w14:textId="130D6187" w:rsidR="00760A0B" w:rsidRDefault="00760A0B">
      <w:pPr>
        <w:pStyle w:val="FootnoteText"/>
      </w:pPr>
      <w:r>
        <w:rPr>
          <w:rStyle w:val="FootnoteReference"/>
        </w:rPr>
        <w:footnoteRef/>
      </w:r>
      <w:r>
        <w:t xml:space="preserve"> </w:t>
      </w:r>
      <w:r w:rsidRPr="00760A0B">
        <w:rPr>
          <w:i/>
          <w:iCs/>
        </w:rPr>
        <w:t>Gibbons v. Ogden</w:t>
      </w:r>
      <w:r>
        <w:t>, 22 U.S. 1 (1824)</w:t>
      </w:r>
    </w:p>
  </w:footnote>
  <w:footnote w:id="36">
    <w:p w14:paraId="64D39A09" w14:textId="4844F47B" w:rsidR="00D923AD" w:rsidRDefault="00D923AD">
      <w:pPr>
        <w:pStyle w:val="FootnoteText"/>
      </w:pPr>
      <w:r>
        <w:rPr>
          <w:rStyle w:val="FootnoteReference"/>
        </w:rPr>
        <w:footnoteRef/>
      </w:r>
      <w:r>
        <w:t xml:space="preserve"> “Thomas Jefferson to James Madison, 6 </w:t>
      </w:r>
      <w:proofErr w:type="gramStart"/>
      <w:r>
        <w:t>March,</w:t>
      </w:r>
      <w:proofErr w:type="gramEnd"/>
      <w:r>
        <w:t xml:space="preserve"> 17</w:t>
      </w:r>
      <w:r w:rsidR="00053353">
        <w:t>9</w:t>
      </w:r>
      <w:r>
        <w:t>6,”</w:t>
      </w:r>
      <w:r w:rsidRPr="00D923AD">
        <w:rPr>
          <w:i/>
          <w:iCs/>
        </w:rPr>
        <w:t xml:space="preserve"> </w:t>
      </w:r>
      <w:r w:rsidRPr="0099485E">
        <w:rPr>
          <w:i/>
          <w:iCs/>
        </w:rPr>
        <w:t>Founders Online, </w:t>
      </w:r>
      <w:r w:rsidRPr="0099485E">
        <w:t>National Archives</w:t>
      </w:r>
      <w:r>
        <w:t>.</w:t>
      </w:r>
    </w:p>
  </w:footnote>
  <w:footnote w:id="37">
    <w:p w14:paraId="44BE8DF2" w14:textId="7DD4AB5D" w:rsidR="00F72C9C" w:rsidRDefault="00F72C9C">
      <w:pPr>
        <w:pStyle w:val="FootnoteText"/>
      </w:pPr>
      <w:r>
        <w:rPr>
          <w:rStyle w:val="FootnoteReference"/>
        </w:rPr>
        <w:footnoteRef/>
      </w:r>
      <w:r>
        <w:t xml:space="preserve">  Compilation of </w:t>
      </w:r>
      <w:r w:rsidR="00E61DE5">
        <w:t xml:space="preserve">internal-improvement bill </w:t>
      </w:r>
      <w:r>
        <w:t>vetoes: Madison (</w:t>
      </w:r>
      <w:r w:rsidR="00E61DE5">
        <w:t xml:space="preserve">one, </w:t>
      </w:r>
      <w:r>
        <w:t>1817), Monroe (</w:t>
      </w:r>
      <w:r w:rsidR="00E61DE5">
        <w:t xml:space="preserve">one, </w:t>
      </w:r>
      <w:r>
        <w:t>1822), Jackson (</w:t>
      </w:r>
      <w:r w:rsidR="00E61DE5">
        <w:t xml:space="preserve">six, </w:t>
      </w:r>
      <w:r>
        <w:t>1830-1834), Tyler (</w:t>
      </w:r>
      <w:r w:rsidR="00E61DE5">
        <w:t xml:space="preserve">two, </w:t>
      </w:r>
      <w:r>
        <w:t>1844-1845), Polk (</w:t>
      </w:r>
      <w:r w:rsidR="00EF2723">
        <w:t xml:space="preserve">two, </w:t>
      </w:r>
      <w:r>
        <w:t>1846-1847), Pierce (</w:t>
      </w:r>
      <w:r w:rsidR="00EF2723">
        <w:t xml:space="preserve">six, </w:t>
      </w:r>
      <w:r>
        <w:t>1854-</w:t>
      </w:r>
      <w:r w:rsidR="007342F2">
        <w:t>185</w:t>
      </w:r>
      <w:r w:rsidR="00A0754F">
        <w:t>6</w:t>
      </w:r>
      <w:r w:rsidR="007342F2">
        <w:t>), Buchanan (</w:t>
      </w:r>
      <w:r w:rsidR="00EF2723">
        <w:t xml:space="preserve">two, </w:t>
      </w:r>
      <w:r w:rsidR="007342F2">
        <w:t>1860)</w:t>
      </w:r>
    </w:p>
  </w:footnote>
  <w:footnote w:id="38">
    <w:p w14:paraId="376D997A" w14:textId="19A5CD46" w:rsidR="003F74A7" w:rsidRDefault="003F74A7">
      <w:pPr>
        <w:pStyle w:val="FootnoteText"/>
      </w:pPr>
      <w:r>
        <w:rPr>
          <w:rStyle w:val="FootnoteReference"/>
        </w:rPr>
        <w:footnoteRef/>
      </w:r>
      <w:r>
        <w:t xml:space="preserve"> Presidents frequently described the practical consequences of such measures in terms that </w:t>
      </w:r>
      <w:r w:rsidR="009447D0">
        <w:t>can be understood, in modern analytic terms, as forms of moral hazard</w:t>
      </w:r>
      <w:r>
        <w:t xml:space="preserve"> - warning that federal subsidies and charters weakened fiscal discipline, encouraged speculative investment, and invited sectional bargaining by shifting costs away from beneficiaries and onto the </w:t>
      </w:r>
      <w:proofErr w:type="gramStart"/>
      <w:r>
        <w:t>general public</w:t>
      </w:r>
      <w:proofErr w:type="gramEnd"/>
      <w:r>
        <w:t>.</w:t>
      </w:r>
    </w:p>
  </w:footnote>
  <w:footnote w:id="39">
    <w:p w14:paraId="45C7F343" w14:textId="5BE634EB" w:rsidR="001A1DCE" w:rsidRDefault="001A1DCE">
      <w:pPr>
        <w:pStyle w:val="FootnoteText"/>
      </w:pPr>
      <w:r>
        <w:rPr>
          <w:rStyle w:val="FootnoteReference"/>
        </w:rPr>
        <w:footnoteRef/>
      </w:r>
      <w:r>
        <w:t xml:space="preserve"> The permanent success of the Constitution depends on a definite partition of powers between the General and the State Governmen</w:t>
      </w:r>
      <w:r w:rsidRPr="001D4E61">
        <w:t xml:space="preserve">ts.” Madison, James - </w:t>
      </w:r>
      <w:r w:rsidRPr="001D4E61">
        <w:rPr>
          <w:rStyle w:val="Emphasis"/>
        </w:rPr>
        <w:t>Veto Message, Mar. 3, 1817</w:t>
      </w:r>
      <w:r w:rsidRPr="001D4E61">
        <w:t xml:space="preserve">. </w:t>
      </w:r>
      <w:r w:rsidRPr="001D4E61">
        <w:rPr>
          <w:rStyle w:val="Strong"/>
          <w:b w:val="0"/>
          <w:bCs w:val="0"/>
        </w:rPr>
        <w:t>Richardson, James,</w:t>
      </w:r>
      <w:r w:rsidRPr="001D4E61">
        <w:rPr>
          <w:rStyle w:val="Strong"/>
        </w:rPr>
        <w:t xml:space="preserve"> </w:t>
      </w:r>
      <w:r w:rsidRPr="001D4E61">
        <w:rPr>
          <w:rStyle w:val="Emphasis"/>
        </w:rPr>
        <w:t>Messages and Papers of the Presidents</w:t>
      </w:r>
      <w:r w:rsidRPr="001D4E61">
        <w:t>, Vol. I, Part 4</w:t>
      </w:r>
    </w:p>
  </w:footnote>
  <w:footnote w:id="40">
    <w:p w14:paraId="073A099C" w14:textId="3D73D7B3" w:rsidR="00C74644" w:rsidRPr="00C74644" w:rsidRDefault="00C74644">
      <w:pPr>
        <w:pStyle w:val="FootnoteText"/>
      </w:pPr>
      <w:r>
        <w:rPr>
          <w:rStyle w:val="FootnoteReference"/>
        </w:rPr>
        <w:footnoteRef/>
      </w:r>
      <w:r>
        <w:t xml:space="preserve"> “</w:t>
      </w:r>
      <w:r w:rsidRPr="00C74644">
        <w:t>I think the passage and rejection of this bill a fortunate incident...[it] will settle forever the meaning of this phrase, which, by a mere grammatical quibble, has countenanced the General Government in a claim of universal power.”</w:t>
      </w:r>
      <w:r>
        <w:t xml:space="preserve"> </w:t>
      </w:r>
      <w:r w:rsidRPr="00C74644">
        <w:t xml:space="preserve">“Thomas Jefferson to Albert Gallatin, before June 6, 1817.” </w:t>
      </w:r>
      <w:r w:rsidRPr="00C74644">
        <w:rPr>
          <w:i/>
          <w:iCs/>
        </w:rPr>
        <w:t>Founders Online, </w:t>
      </w:r>
      <w:r w:rsidRPr="00C74644">
        <w:t>National Archives.</w:t>
      </w:r>
    </w:p>
  </w:footnote>
  <w:footnote w:id="41">
    <w:p w14:paraId="694FE0D1" w14:textId="4F899438" w:rsidR="001A1DCE" w:rsidRDefault="001A1DCE">
      <w:pPr>
        <w:pStyle w:val="FootnoteText"/>
      </w:pPr>
      <w:r>
        <w:rPr>
          <w:rStyle w:val="FootnoteReference"/>
        </w:rPr>
        <w:footnoteRef/>
      </w:r>
      <w:r>
        <w:t xml:space="preserve"> </w:t>
      </w:r>
      <w:r w:rsidRPr="004704C4">
        <w:t>“A power to establish turnpikes with gates and tolls, and to enforce the collection of tolls by penalties, implies a power to adopt and execute a complete system of internal improvement.”</w:t>
      </w:r>
      <w:r>
        <w:t xml:space="preserve"> Monroe, James – </w:t>
      </w:r>
      <w:r w:rsidRPr="004704C4">
        <w:rPr>
          <w:i/>
          <w:iCs/>
        </w:rPr>
        <w:t>Veto Message, May 4, 1822</w:t>
      </w:r>
      <w:r>
        <w:t xml:space="preserve">. Richardson, </w:t>
      </w:r>
      <w:r w:rsidRPr="001D4E61">
        <w:rPr>
          <w:rStyle w:val="Emphasis"/>
        </w:rPr>
        <w:t>Messages and Papers of the Presidents</w:t>
      </w:r>
      <w:r w:rsidRPr="001D4E61">
        <w:t>, Vol. I</w:t>
      </w:r>
      <w:r>
        <w:t>I,</w:t>
      </w:r>
      <w:r w:rsidRPr="001D4E61">
        <w:t xml:space="preserve"> Part </w:t>
      </w:r>
      <w:r>
        <w:t>1</w:t>
      </w:r>
    </w:p>
  </w:footnote>
  <w:footnote w:id="42">
    <w:p w14:paraId="6F006F11" w14:textId="2AB596FD" w:rsidR="00EA4E05" w:rsidRDefault="00EA4E05">
      <w:pPr>
        <w:pStyle w:val="FootnoteText"/>
      </w:pPr>
      <w:r>
        <w:rPr>
          <w:rStyle w:val="FootnoteReference"/>
        </w:rPr>
        <w:footnoteRef/>
      </w:r>
      <w:r>
        <w:t xml:space="preserve"> “It is to be regretted that the rich and powerful too often bend the acts of government to their selfish purposes.” Jackson, Andrew – </w:t>
      </w:r>
      <w:r w:rsidRPr="00EA4E05">
        <w:rPr>
          <w:i/>
          <w:iCs/>
        </w:rPr>
        <w:t>Veto Message, July 10, 1832</w:t>
      </w:r>
      <w:r>
        <w:rPr>
          <w:i/>
          <w:iCs/>
        </w:rPr>
        <w:t xml:space="preserve">, </w:t>
      </w:r>
      <w:r>
        <w:t xml:space="preserve">Richardson, </w:t>
      </w:r>
      <w:r w:rsidRPr="001D4E61">
        <w:rPr>
          <w:rStyle w:val="Emphasis"/>
        </w:rPr>
        <w:t>Messages and Papers of the Presidents</w:t>
      </w:r>
      <w:r w:rsidRPr="001D4E61">
        <w:t>, Vol. I</w:t>
      </w:r>
      <w:r>
        <w:t>II,</w:t>
      </w:r>
      <w:r w:rsidRPr="001D4E61">
        <w:t xml:space="preserve"> Part </w:t>
      </w:r>
      <w:r>
        <w:t>1</w:t>
      </w:r>
    </w:p>
  </w:footnote>
  <w:footnote w:id="43">
    <w:p w14:paraId="54A16307" w14:textId="612BF960" w:rsidR="001A1DCE" w:rsidRPr="00EA75A6" w:rsidRDefault="001A1DCE">
      <w:pPr>
        <w:pStyle w:val="FootnoteText"/>
      </w:pPr>
      <w:r w:rsidRPr="00EA75A6">
        <w:rPr>
          <w:rStyle w:val="FootnoteReference"/>
        </w:rPr>
        <w:footnoteRef/>
      </w:r>
      <w:r w:rsidRPr="00EA75A6">
        <w:t xml:space="preserve"> “The practice of thus mingling the concerns of the Government with those of the States or of individuals is inconsistent with the object of its institution.” Jackson, Andrew - </w:t>
      </w:r>
      <w:r w:rsidRPr="00EA75A6">
        <w:rPr>
          <w:i/>
          <w:iCs/>
        </w:rPr>
        <w:t>Veto Message, May 27, 1830</w:t>
      </w:r>
      <w:r w:rsidRPr="00EA75A6">
        <w:t xml:space="preserve">, Richardson, </w:t>
      </w:r>
      <w:r w:rsidRPr="00EA75A6">
        <w:rPr>
          <w:rStyle w:val="Emphasis"/>
        </w:rPr>
        <w:t>Messages and Papers of the Presidents</w:t>
      </w:r>
      <w:r w:rsidRPr="00EA75A6">
        <w:t>, Vol. III, Part 1</w:t>
      </w:r>
    </w:p>
  </w:footnote>
  <w:footnote w:id="44">
    <w:p w14:paraId="4D31D390" w14:textId="520D200B" w:rsidR="002F6BF5" w:rsidRPr="00EA75A6" w:rsidRDefault="002F6BF5">
      <w:pPr>
        <w:pStyle w:val="FootnoteText"/>
      </w:pPr>
      <w:r w:rsidRPr="00EA75A6">
        <w:rPr>
          <w:rStyle w:val="FootnoteReference"/>
        </w:rPr>
        <w:footnoteRef/>
      </w:r>
      <w:r w:rsidRPr="00EA75A6">
        <w:t xml:space="preserve"> “</w:t>
      </w:r>
      <w:r w:rsidR="00EA75A6" w:rsidRPr="00EA75A6">
        <w:rPr>
          <w:color w:val="414042"/>
        </w:rPr>
        <w:t>The power of Congress to create a national bank to operate per se over the Union has been a question of dispute from the origin of the Government</w:t>
      </w:r>
      <w:r w:rsidR="00EA75A6" w:rsidRPr="00EA75A6">
        <w:t>…</w:t>
      </w:r>
      <w:r w:rsidR="00EA75A6" w:rsidRPr="00EA75A6">
        <w:rPr>
          <w:color w:val="414042"/>
        </w:rPr>
        <w:t xml:space="preserve"> It will suffice for me to say that my own opinion has been uniformly proclaimed to be against the exercise of any such power by this Government.</w:t>
      </w:r>
      <w:r w:rsidRPr="00EA75A6">
        <w:t xml:space="preserve">” Tyler, John – Veto </w:t>
      </w:r>
      <w:r w:rsidR="00EA75A6" w:rsidRPr="00EA75A6">
        <w:t xml:space="preserve">Message, August 16, 1841. Richardson, </w:t>
      </w:r>
      <w:r w:rsidR="00EA75A6" w:rsidRPr="00EA75A6">
        <w:rPr>
          <w:rStyle w:val="Emphasis"/>
        </w:rPr>
        <w:t>Messages and Papers of the Presidents</w:t>
      </w:r>
      <w:r w:rsidR="00EA75A6" w:rsidRPr="00EA75A6">
        <w:t>, Vol. IV, Part 2</w:t>
      </w:r>
    </w:p>
  </w:footnote>
  <w:footnote w:id="45">
    <w:p w14:paraId="7DC51429" w14:textId="50CAB04C" w:rsidR="001A1DCE" w:rsidRPr="00EA75A6" w:rsidRDefault="001A1DCE">
      <w:pPr>
        <w:pStyle w:val="FootnoteText"/>
      </w:pPr>
      <w:r w:rsidRPr="00EA75A6">
        <w:rPr>
          <w:rStyle w:val="FootnoteReference"/>
        </w:rPr>
        <w:footnoteRef/>
      </w:r>
      <w:r w:rsidRPr="00EA75A6">
        <w:t xml:space="preserve"> “</w:t>
      </w:r>
      <w:r w:rsidR="00C40E84" w:rsidRPr="00EA75A6">
        <w:t>…throw open the door to a boundless and unlimited discretion and to invest Congress with an unrestrained authority</w:t>
      </w:r>
      <w:r w:rsidRPr="00EA75A6">
        <w:t xml:space="preserve">.” Tyler, John - </w:t>
      </w:r>
      <w:r w:rsidRPr="00EA75A6">
        <w:rPr>
          <w:i/>
          <w:iCs/>
        </w:rPr>
        <w:t xml:space="preserve">Veto Message, June 11, 1844, </w:t>
      </w:r>
      <w:r w:rsidRPr="00EA75A6">
        <w:t xml:space="preserve">Richardson, </w:t>
      </w:r>
      <w:r w:rsidRPr="00EA75A6">
        <w:rPr>
          <w:rStyle w:val="Emphasis"/>
        </w:rPr>
        <w:t>Messages and Papers of the Presidents</w:t>
      </w:r>
      <w:r w:rsidRPr="00EA75A6">
        <w:t>, Vol. IV, Part 2</w:t>
      </w:r>
    </w:p>
  </w:footnote>
  <w:footnote w:id="46">
    <w:p w14:paraId="1D032849" w14:textId="3A5E0D15" w:rsidR="001A1DCE" w:rsidRPr="00EA75A6" w:rsidRDefault="001A1DCE">
      <w:pPr>
        <w:pStyle w:val="FootnoteText"/>
      </w:pPr>
      <w:r w:rsidRPr="00EA75A6">
        <w:rPr>
          <w:rStyle w:val="FootnoteReference"/>
        </w:rPr>
        <w:footnoteRef/>
      </w:r>
      <w:r w:rsidRPr="00EA75A6">
        <w:t xml:space="preserve"> “A system which would make the General Government the great dispenser of public funds… would lead to a disreputable scramble for the public money.” Polk, James – </w:t>
      </w:r>
      <w:r w:rsidRPr="00EA75A6">
        <w:rPr>
          <w:i/>
          <w:iCs/>
        </w:rPr>
        <w:t>Veto Message, August 3, 1846,</w:t>
      </w:r>
      <w:r w:rsidRPr="00EA75A6">
        <w:t xml:space="preserve"> Richardson, </w:t>
      </w:r>
      <w:r w:rsidRPr="00EA75A6">
        <w:rPr>
          <w:rStyle w:val="Emphasis"/>
        </w:rPr>
        <w:t>Messages and Papers of the Presidents</w:t>
      </w:r>
      <w:r w:rsidRPr="00EA75A6">
        <w:t>, Vol. IV, Part 3</w:t>
      </w:r>
    </w:p>
  </w:footnote>
  <w:footnote w:id="47">
    <w:p w14:paraId="32701A4A" w14:textId="2EE7010B" w:rsidR="00803645" w:rsidRPr="00EA75A6" w:rsidRDefault="00803645" w:rsidP="00EF42A3">
      <w:pPr>
        <w:spacing w:after="0" w:line="240" w:lineRule="auto"/>
        <w:rPr>
          <w:sz w:val="20"/>
          <w:szCs w:val="20"/>
        </w:rPr>
      </w:pPr>
      <w:r w:rsidRPr="00EA75A6">
        <w:rPr>
          <w:rStyle w:val="FootnoteReference"/>
        </w:rPr>
        <w:footnoteRef/>
      </w:r>
      <w:r w:rsidRPr="00EA75A6">
        <w:t xml:space="preserve"> </w:t>
      </w:r>
      <w:r w:rsidR="005B35D8" w:rsidRPr="00EA75A6">
        <w:rPr>
          <w:rStyle w:val="Strong"/>
          <w:b w:val="0"/>
          <w:bCs w:val="0"/>
          <w:sz w:val="20"/>
          <w:szCs w:val="20"/>
        </w:rPr>
        <w:t>See</w:t>
      </w:r>
      <w:r w:rsidR="005B35D8" w:rsidRPr="00EA75A6">
        <w:rPr>
          <w:sz w:val="20"/>
          <w:szCs w:val="20"/>
        </w:rPr>
        <w:t xml:space="preserve"> Abraham Lincoln, </w:t>
      </w:r>
      <w:r w:rsidR="005B35D8" w:rsidRPr="00EA75A6">
        <w:rPr>
          <w:rStyle w:val="Emphasis"/>
          <w:sz w:val="20"/>
          <w:szCs w:val="20"/>
        </w:rPr>
        <w:t>Speech on Internal Improvements</w:t>
      </w:r>
      <w:r w:rsidR="005B35D8" w:rsidRPr="00EA75A6">
        <w:rPr>
          <w:sz w:val="20"/>
          <w:szCs w:val="20"/>
        </w:rPr>
        <w:t xml:space="preserve">, U.S. House of Representatives (June 20, 1848), in </w:t>
      </w:r>
      <w:r w:rsidR="005B35D8" w:rsidRPr="00EA75A6">
        <w:rPr>
          <w:rStyle w:val="Strong"/>
          <w:b w:val="0"/>
          <w:bCs w:val="0"/>
          <w:sz w:val="20"/>
          <w:szCs w:val="20"/>
        </w:rPr>
        <w:t>2 THE COLLECTED WORKS OF ABRAHAM LINCOLN</w:t>
      </w:r>
      <w:r w:rsidR="005B35D8" w:rsidRPr="00EA75A6">
        <w:rPr>
          <w:b/>
          <w:bCs/>
          <w:sz w:val="20"/>
          <w:szCs w:val="20"/>
        </w:rPr>
        <w:t xml:space="preserve"> _</w:t>
      </w:r>
      <w:r w:rsidR="005B35D8" w:rsidRPr="00EA75A6">
        <w:rPr>
          <w:sz w:val="20"/>
          <w:szCs w:val="20"/>
        </w:rPr>
        <w:t xml:space="preserve">__ (Roy P. Basler ed., 1953). Lincoln argued for internal improvements of a “national character” and cited Thomas Jefferson’s suggestion that Congress “consider” a constitutional amendment respecting internal improvements. </w:t>
      </w:r>
      <w:r w:rsidR="005B35D8" w:rsidRPr="00EA75A6">
        <w:rPr>
          <w:rStyle w:val="Strong"/>
          <w:b w:val="0"/>
          <w:bCs w:val="0"/>
          <w:sz w:val="20"/>
          <w:szCs w:val="20"/>
        </w:rPr>
        <w:t>See</w:t>
      </w:r>
      <w:r w:rsidR="005B35D8" w:rsidRPr="00EA75A6">
        <w:rPr>
          <w:sz w:val="20"/>
          <w:szCs w:val="20"/>
        </w:rPr>
        <w:t xml:space="preserve"> Thomas Jefferson, </w:t>
      </w:r>
      <w:r w:rsidR="005B35D8" w:rsidRPr="00EA75A6">
        <w:rPr>
          <w:rStyle w:val="Emphasis"/>
          <w:sz w:val="20"/>
          <w:szCs w:val="20"/>
        </w:rPr>
        <w:t>Sixth Annual Message to Congress</w:t>
      </w:r>
      <w:r w:rsidR="005B35D8" w:rsidRPr="00EA75A6">
        <w:rPr>
          <w:sz w:val="20"/>
          <w:szCs w:val="20"/>
        </w:rPr>
        <w:t xml:space="preserve"> (Dec. 2, 1806), in </w:t>
      </w:r>
      <w:r w:rsidR="005B35D8" w:rsidRPr="00EA75A6">
        <w:rPr>
          <w:rStyle w:val="Strong"/>
          <w:b w:val="0"/>
          <w:bCs w:val="0"/>
          <w:sz w:val="20"/>
          <w:szCs w:val="20"/>
        </w:rPr>
        <w:t>10 THE WRITINGS OF THOMAS JEFFERSON</w:t>
      </w:r>
      <w:r w:rsidR="005B35D8" w:rsidRPr="00EA75A6">
        <w:rPr>
          <w:sz w:val="20"/>
          <w:szCs w:val="20"/>
        </w:rPr>
        <w:t xml:space="preserve"> ___ (Andrew A. Lipscomb ed., 1903). Jefferson’s 1806 proposal is best read as a prudential recommendation in the face of constitutional uncertainty rather than a concession that Congress otherwise possessed a general infrastructure power. Jefferson later emphasized constitutional limits against expansive internal-improvements programs associated with the Adams Administration. </w:t>
      </w:r>
      <w:r w:rsidR="005B35D8" w:rsidRPr="00EA75A6">
        <w:rPr>
          <w:rStyle w:val="Strong"/>
          <w:b w:val="0"/>
          <w:bCs w:val="0"/>
          <w:sz w:val="20"/>
          <w:szCs w:val="20"/>
        </w:rPr>
        <w:t>See</w:t>
      </w:r>
      <w:r w:rsidR="005B35D8" w:rsidRPr="00EA75A6">
        <w:rPr>
          <w:b/>
          <w:bCs/>
          <w:sz w:val="20"/>
          <w:szCs w:val="20"/>
        </w:rPr>
        <w:t xml:space="preserve"> </w:t>
      </w:r>
      <w:r w:rsidR="005B35D8" w:rsidRPr="00EA75A6">
        <w:rPr>
          <w:sz w:val="20"/>
          <w:szCs w:val="20"/>
        </w:rPr>
        <w:t xml:space="preserve">Thomas Jefferson, </w:t>
      </w:r>
      <w:r w:rsidR="005B35D8" w:rsidRPr="00EA75A6">
        <w:rPr>
          <w:rStyle w:val="Emphasis"/>
          <w:sz w:val="20"/>
          <w:szCs w:val="20"/>
        </w:rPr>
        <w:t>Declaration and Protest of the Commonwealth of Virginia</w:t>
      </w:r>
      <w:r w:rsidR="005B35D8" w:rsidRPr="00EA75A6">
        <w:rPr>
          <w:sz w:val="20"/>
          <w:szCs w:val="20"/>
        </w:rPr>
        <w:t xml:space="preserve"> (1825), in </w:t>
      </w:r>
      <w:r w:rsidR="005B35D8" w:rsidRPr="00EA75A6">
        <w:rPr>
          <w:rStyle w:val="Strong"/>
          <w:b w:val="0"/>
          <w:bCs w:val="0"/>
          <w:sz w:val="20"/>
          <w:szCs w:val="20"/>
        </w:rPr>
        <w:t>8 THE WRITINGS OF THOMAS JEFFERSON</w:t>
      </w:r>
      <w:r w:rsidR="005B35D8" w:rsidRPr="00EA75A6">
        <w:rPr>
          <w:sz w:val="20"/>
          <w:szCs w:val="20"/>
        </w:rPr>
        <w:t xml:space="preserve"> 68–69 (Cambridge Univ. Press 2011); Thomas Jefferson to James Madison (Dec. 24, 1825), in </w:t>
      </w:r>
      <w:r w:rsidR="005B35D8" w:rsidRPr="00EA75A6">
        <w:rPr>
          <w:rStyle w:val="Strong"/>
          <w:b w:val="0"/>
          <w:bCs w:val="0"/>
          <w:sz w:val="20"/>
          <w:szCs w:val="20"/>
        </w:rPr>
        <w:t>16 THE WRITINGS OF THOMAS JEFFERSON</w:t>
      </w:r>
      <w:r w:rsidR="005B35D8" w:rsidRPr="00EA75A6">
        <w:rPr>
          <w:sz w:val="20"/>
          <w:szCs w:val="20"/>
        </w:rPr>
        <w:t xml:space="preserve"> 140–42 (Albert Ellery Bergh ed., 1905); Joseph H. Harrison, Jr., </w:t>
      </w:r>
      <w:r w:rsidR="005B35D8" w:rsidRPr="00EA75A6">
        <w:rPr>
          <w:rStyle w:val="Emphasis"/>
          <w:sz w:val="20"/>
          <w:szCs w:val="20"/>
        </w:rPr>
        <w:t>“Sic Et Non”: Thomas Jefferson and Internal Improvement</w:t>
      </w:r>
      <w:r w:rsidR="005B35D8" w:rsidRPr="00EA75A6">
        <w:rPr>
          <w:sz w:val="20"/>
          <w:szCs w:val="20"/>
        </w:rPr>
        <w:t xml:space="preserve">, </w:t>
      </w:r>
      <w:r w:rsidR="005B35D8" w:rsidRPr="00EA75A6">
        <w:rPr>
          <w:rStyle w:val="Strong"/>
          <w:b w:val="0"/>
          <w:bCs w:val="0"/>
          <w:sz w:val="20"/>
          <w:szCs w:val="20"/>
        </w:rPr>
        <w:t>7 J. EARLY REPUBLIC</w:t>
      </w:r>
      <w:r w:rsidR="005B35D8" w:rsidRPr="00EA75A6">
        <w:rPr>
          <w:sz w:val="20"/>
          <w:szCs w:val="20"/>
        </w:rPr>
        <w:t xml:space="preserve"> 345, ___ (Winter 1987).</w:t>
      </w:r>
    </w:p>
  </w:footnote>
  <w:footnote w:id="48">
    <w:p w14:paraId="444BE06A" w14:textId="0BA06331" w:rsidR="001A1DCE" w:rsidRPr="00EA75A6" w:rsidRDefault="001A1DCE" w:rsidP="00EF42A3">
      <w:pPr>
        <w:pStyle w:val="FootnoteText"/>
      </w:pPr>
      <w:r w:rsidRPr="00EA75A6">
        <w:rPr>
          <w:rStyle w:val="FootnoteReference"/>
        </w:rPr>
        <w:footnoteRef/>
      </w:r>
      <w:r w:rsidRPr="00EA75A6">
        <w:t xml:space="preserve"> “To commence and carry on a general system of internal improvements… is prejudicial to the several interests and inconsistent with the true relation of the Union and the States.” Pierce, Franklin - </w:t>
      </w:r>
      <w:r w:rsidRPr="00EA75A6">
        <w:rPr>
          <w:i/>
          <w:iCs/>
        </w:rPr>
        <w:t xml:space="preserve">Veto Message, Aug. 4, 1854, </w:t>
      </w:r>
      <w:r w:rsidRPr="00EA75A6">
        <w:t xml:space="preserve">Richardson, </w:t>
      </w:r>
      <w:r w:rsidRPr="00EA75A6">
        <w:rPr>
          <w:rStyle w:val="Emphasis"/>
        </w:rPr>
        <w:t>Messages and Papers of the Presidents</w:t>
      </w:r>
      <w:r w:rsidRPr="00EA75A6">
        <w:t>, Vol. V, Part 3</w:t>
      </w:r>
    </w:p>
  </w:footnote>
  <w:footnote w:id="49">
    <w:p w14:paraId="040D6635" w14:textId="77777777" w:rsidR="00BE285B" w:rsidRDefault="00BE285B" w:rsidP="00BE285B">
      <w:pPr>
        <w:pStyle w:val="FootnoteText"/>
      </w:pPr>
      <w:r>
        <w:rPr>
          <w:rStyle w:val="FootnoteReference"/>
        </w:rPr>
        <w:footnoteRef/>
      </w:r>
      <w:r>
        <w:t xml:space="preserve"> Congressional overrides of Pierce vetoes (House and Senate Journals, 1856).</w:t>
      </w:r>
    </w:p>
  </w:footnote>
  <w:footnote w:id="50">
    <w:p w14:paraId="34C44E6A" w14:textId="6AF3DDB2" w:rsidR="00A0754F" w:rsidRDefault="00A0754F">
      <w:pPr>
        <w:pStyle w:val="FootnoteText"/>
      </w:pPr>
      <w:r>
        <w:rPr>
          <w:rStyle w:val="FootnoteReference"/>
        </w:rPr>
        <w:footnoteRef/>
      </w:r>
      <w:r>
        <w:t xml:space="preserve"> </w:t>
      </w:r>
      <w:r w:rsidRPr="007677FC">
        <w:t>“To say that the power to regulate commerce embraces the power to create or to construct is to confound the meaning of words of well-known signification.”</w:t>
      </w:r>
      <w:r w:rsidRPr="007677FC">
        <w:rPr>
          <w:sz w:val="24"/>
          <w:szCs w:val="24"/>
        </w:rPr>
        <w:t xml:space="preserve"> </w:t>
      </w:r>
      <w:r>
        <w:t xml:space="preserve">Buchanan, James, </w:t>
      </w:r>
      <w:r w:rsidRPr="007677FC">
        <w:rPr>
          <w:i/>
          <w:iCs/>
        </w:rPr>
        <w:t>Veto Message, Feb. 17, 1857</w:t>
      </w:r>
      <w:r w:rsidRPr="007677FC">
        <w:t xml:space="preserve">, </w:t>
      </w:r>
      <w:r w:rsidRPr="004704C4">
        <w:t>Richardson</w:t>
      </w:r>
      <w:r>
        <w:t xml:space="preserve">, </w:t>
      </w:r>
      <w:r w:rsidRPr="001D4E61">
        <w:rPr>
          <w:rStyle w:val="Emphasis"/>
        </w:rPr>
        <w:t>Messages and Papers of the Presidents</w:t>
      </w:r>
      <w:r w:rsidRPr="001D4E61">
        <w:t xml:space="preserve">, Vol. </w:t>
      </w:r>
      <w:r>
        <w:t>V,</w:t>
      </w:r>
      <w:r w:rsidRPr="001D4E61">
        <w:t xml:space="preserve"> Part </w:t>
      </w:r>
      <w:r>
        <w:t>4</w:t>
      </w:r>
      <w:r w:rsidRPr="007677FC">
        <w:t>“To say that the power to regulate commerce embraces the power to create or to construct is to confound the meaning of words of well-known signification.”</w:t>
      </w:r>
      <w:r w:rsidRPr="007677FC">
        <w:rPr>
          <w:sz w:val="24"/>
          <w:szCs w:val="24"/>
        </w:rPr>
        <w:t xml:space="preserve"> </w:t>
      </w:r>
      <w:r>
        <w:t xml:space="preserve">Buchanan, James, </w:t>
      </w:r>
      <w:r w:rsidRPr="007677FC">
        <w:rPr>
          <w:i/>
          <w:iCs/>
        </w:rPr>
        <w:t>Veto Message, Feb. 17, 1857</w:t>
      </w:r>
      <w:r w:rsidRPr="007677FC">
        <w:t xml:space="preserve">, </w:t>
      </w:r>
      <w:r w:rsidRPr="004704C4">
        <w:t>Richardson</w:t>
      </w:r>
      <w:r>
        <w:t xml:space="preserve">, </w:t>
      </w:r>
      <w:r w:rsidRPr="001D4E61">
        <w:rPr>
          <w:rStyle w:val="Emphasis"/>
        </w:rPr>
        <w:t>Messages and Papers of the Presidents</w:t>
      </w:r>
      <w:r w:rsidRPr="001D4E61">
        <w:t xml:space="preserve">, Vol. </w:t>
      </w:r>
      <w:r>
        <w:t>V,</w:t>
      </w:r>
      <w:r w:rsidRPr="001D4E61">
        <w:t xml:space="preserve"> Part </w:t>
      </w:r>
      <w:r>
        <w:t>4</w:t>
      </w:r>
    </w:p>
  </w:footnote>
  <w:footnote w:id="51">
    <w:p w14:paraId="6CD87065" w14:textId="22F784AC" w:rsidR="00D0082C" w:rsidRDefault="00D0082C">
      <w:pPr>
        <w:pStyle w:val="FootnoteText"/>
      </w:pPr>
      <w:r>
        <w:rPr>
          <w:rStyle w:val="FootnoteReference"/>
        </w:rPr>
        <w:footnoteRef/>
      </w:r>
      <w:r>
        <w:t xml:space="preserve"> </w:t>
      </w:r>
      <w:r w:rsidRPr="00D0082C">
        <w:rPr>
          <w:rStyle w:val="Strong"/>
          <w:b w:val="0"/>
          <w:bCs w:val="0"/>
        </w:rPr>
        <w:t>The Bankruptcy Act of 1841 illustrates how moral hazard was understood as a constitutional problem even where an enumerated power existed.</w:t>
      </w:r>
      <w:r>
        <w:t xml:space="preserve"> Enacted following the Panic of 1837, the Act permitted voluntary bankruptcy and broad discharge of commercial debts. Opponents warned that it rewarded speculative failure, impaired contractual obligations, and shifted losses from imprudent debtors to prudent creditors. See </w:t>
      </w:r>
      <w:r>
        <w:rPr>
          <w:rStyle w:val="Emphasis"/>
        </w:rPr>
        <w:t>Cong. Globe</w:t>
      </w:r>
      <w:r>
        <w:t>, 26th Cong., 1st Sess., app. (1841). The statute</w:t>
      </w:r>
      <w:r>
        <w:t xml:space="preserve"> - </w:t>
      </w:r>
      <w:r>
        <w:t>adopted Aug. 19, 1841</w:t>
      </w:r>
      <w:r>
        <w:t xml:space="preserve"> - </w:t>
      </w:r>
      <w:r>
        <w:t xml:space="preserve">was repealed on Mar. 3, 1843, amid widespread claims that it functioned as a de facto bailout rather than neutral insolvency administration. See </w:t>
      </w:r>
      <w:proofErr w:type="spellStart"/>
      <w:r>
        <w:t>ch.</w:t>
      </w:r>
      <w:proofErr w:type="spellEnd"/>
      <w:r>
        <w:t xml:space="preserve"> 9, 5 Stat. 440 (1841), repealed by </w:t>
      </w:r>
      <w:proofErr w:type="spellStart"/>
      <w:r>
        <w:t>ch.</w:t>
      </w:r>
      <w:proofErr w:type="spellEnd"/>
      <w:r>
        <w:t xml:space="preserve"> 82, 5 Stat. 614 (1843). As Part IX explains, this same separation of decision-making from cost recurs in federally subsidized infrastructure regimes, where distance between beneficiary and burden erodes fiscal discipline and encourages expansion beyond what local responsibility would sustain.</w:t>
      </w:r>
    </w:p>
  </w:footnote>
  <w:footnote w:id="52">
    <w:p w14:paraId="537FFEAC" w14:textId="761D1C82" w:rsidR="0057060B" w:rsidRDefault="0057060B">
      <w:pPr>
        <w:pStyle w:val="FootnoteText"/>
      </w:pPr>
      <w:r>
        <w:rPr>
          <w:rStyle w:val="FootnoteReference"/>
        </w:rPr>
        <w:footnoteRef/>
      </w:r>
      <w:r>
        <w:t xml:space="preserve"> </w:t>
      </w:r>
      <w:r w:rsidRPr="00C35A32">
        <w:t xml:space="preserve">Democratic </w:t>
      </w:r>
      <w:r>
        <w:t xml:space="preserve">Party </w:t>
      </w:r>
      <w:r w:rsidRPr="00C35A32">
        <w:t>platforms (1840–1860)</w:t>
      </w:r>
      <w:r>
        <w:t>, Whig Party Platform (1852), Republican Party Platforms (1856-1860)</w:t>
      </w:r>
    </w:p>
  </w:footnote>
  <w:footnote w:id="53">
    <w:p w14:paraId="19339D44" w14:textId="7E549426" w:rsidR="00E60DAF" w:rsidRDefault="00E60DAF">
      <w:pPr>
        <w:pStyle w:val="FootnoteText"/>
      </w:pPr>
      <w:r>
        <w:rPr>
          <w:rStyle w:val="FootnoteReference"/>
        </w:rPr>
        <w:footnoteRef/>
      </w:r>
      <w:r>
        <w:t xml:space="preserve"> </w:t>
      </w:r>
      <w:r w:rsidRPr="00C35A32">
        <w:t>Confederate Constitution, Art. I, §8</w:t>
      </w:r>
      <w:r w:rsidR="001E6C01">
        <w:t xml:space="preserve"> (1), (3) (1861)</w:t>
      </w:r>
    </w:p>
  </w:footnote>
  <w:footnote w:id="54">
    <w:p w14:paraId="53DC0866" w14:textId="04294672" w:rsidR="00E60DAF" w:rsidRDefault="00E60DAF">
      <w:pPr>
        <w:pStyle w:val="FootnoteText"/>
      </w:pPr>
      <w:r>
        <w:rPr>
          <w:rStyle w:val="FootnoteReference"/>
        </w:rPr>
        <w:footnoteRef/>
      </w:r>
      <w:r>
        <w:t xml:space="preserve"> </w:t>
      </w:r>
      <w:r w:rsidRPr="00C35A32">
        <w:t>Acton</w:t>
      </w:r>
      <w:r>
        <w:t>, John</w:t>
      </w:r>
      <w:r w:rsidRPr="00C35A32">
        <w:t xml:space="preserve"> </w:t>
      </w:r>
      <w:r w:rsidRPr="00584767">
        <w:rPr>
          <w:i/>
          <w:iCs/>
        </w:rPr>
        <w:t>Letter to Robert E. Lee</w:t>
      </w:r>
      <w:r w:rsidRPr="00C35A32">
        <w:t xml:space="preserve"> (</w:t>
      </w:r>
      <w:r>
        <w:t xml:space="preserve">November 4, </w:t>
      </w:r>
      <w:r w:rsidRPr="00C35A32">
        <w:t>1866)</w:t>
      </w:r>
    </w:p>
  </w:footnote>
  <w:footnote w:id="55">
    <w:p w14:paraId="4DFF072A" w14:textId="35CA2AAF" w:rsidR="00E60DAF" w:rsidRDefault="00E60DAF">
      <w:pPr>
        <w:pStyle w:val="FootnoteText"/>
      </w:pPr>
      <w:r>
        <w:rPr>
          <w:rStyle w:val="FootnoteReference"/>
        </w:rPr>
        <w:footnoteRef/>
      </w:r>
      <w:r>
        <w:t xml:space="preserve"> Lee, Robert E. </w:t>
      </w:r>
      <w:r w:rsidRPr="00584767">
        <w:rPr>
          <w:i/>
          <w:iCs/>
        </w:rPr>
        <w:t xml:space="preserve">Letter to </w:t>
      </w:r>
      <w:r>
        <w:rPr>
          <w:i/>
          <w:iCs/>
        </w:rPr>
        <w:t>Lord Acton</w:t>
      </w:r>
      <w:r w:rsidRPr="00C35A32">
        <w:t xml:space="preserve"> (</w:t>
      </w:r>
      <w:r>
        <w:t xml:space="preserve">December 15, </w:t>
      </w:r>
      <w:r w:rsidRPr="00C35A32">
        <w:t>1866)</w:t>
      </w:r>
    </w:p>
  </w:footnote>
  <w:footnote w:id="56">
    <w:p w14:paraId="5EA03146" w14:textId="1B4190BC" w:rsidR="006D7B03" w:rsidRPr="00E33F0F" w:rsidRDefault="006D7B03">
      <w:pPr>
        <w:pStyle w:val="FootnoteText"/>
      </w:pPr>
      <w:r>
        <w:rPr>
          <w:rStyle w:val="FootnoteReference"/>
        </w:rPr>
        <w:footnoteRef/>
      </w:r>
      <w:r>
        <w:t xml:space="preserve"> </w:t>
      </w:r>
      <w:r w:rsidR="00E33F0F" w:rsidRPr="00E33F0F">
        <w:t>Wabash, St. Louis, &amp; Pacific Railway Company v. Illinois, 118 U.S. 557 (1856)</w:t>
      </w:r>
      <w:r w:rsidR="00E33F0F">
        <w:t>. “</w:t>
      </w:r>
      <w:proofErr w:type="gramStart"/>
      <w:r w:rsidR="00E33F0F">
        <w:t>…</w:t>
      </w:r>
      <w:r w:rsidR="00E33F0F" w:rsidRPr="00E33F0F">
        <w:rPr>
          <w:b/>
          <w:bCs/>
        </w:rPr>
        <w:t xml:space="preserve">“ </w:t>
      </w:r>
      <w:r w:rsidR="00E33F0F" w:rsidRPr="00E33F0F">
        <w:t>the</w:t>
      </w:r>
      <w:proofErr w:type="gramEnd"/>
      <w:r w:rsidR="00E33F0F" w:rsidRPr="00E33F0F">
        <w:t xml:space="preserve"> transportation in question falls within the proper description of 'commerce among the states,' and as such can only be regulated by the congress of the United States under the terms of the third clause of Section 8 of Article 1 of the Constitution of the United States.” </w:t>
      </w:r>
    </w:p>
  </w:footnote>
  <w:footnote w:id="57">
    <w:p w14:paraId="33B7EC57" w14:textId="14231A0A" w:rsidR="00E33F0F" w:rsidRPr="004166FF" w:rsidRDefault="00E33F0F">
      <w:pPr>
        <w:pStyle w:val="FootnoteText"/>
      </w:pPr>
      <w:r>
        <w:rPr>
          <w:rStyle w:val="FootnoteReference"/>
        </w:rPr>
        <w:footnoteRef/>
      </w:r>
      <w:r>
        <w:t xml:space="preserve"> </w:t>
      </w:r>
      <w:r w:rsidRPr="00E33F0F">
        <w:rPr>
          <w:rFonts w:ascii="Cambria" w:hAnsi="Cambria"/>
          <w:i/>
          <w:iCs/>
        </w:rPr>
        <w:t>California v. Central Pacific R. Company</w:t>
      </w:r>
      <w:r>
        <w:rPr>
          <w:rFonts w:ascii="Cambria" w:hAnsi="Cambria"/>
          <w:i/>
          <w:iCs/>
        </w:rPr>
        <w:t xml:space="preserve">, </w:t>
      </w:r>
      <w:r>
        <w:rPr>
          <w:rFonts w:ascii="Cambria" w:hAnsi="Cambria"/>
        </w:rPr>
        <w:t>127 U.S. 1 (1888)</w:t>
      </w:r>
      <w:r w:rsidR="004166FF">
        <w:rPr>
          <w:rFonts w:ascii="Cambria" w:hAnsi="Cambria"/>
        </w:rPr>
        <w:t xml:space="preserve">. </w:t>
      </w:r>
      <w:r w:rsidR="004166FF" w:rsidRPr="004166FF">
        <w:t>“The power to construct, or to authorize individuals or corporations to construct, national highways and bridges from state to state, is essential to the complete control and regulation of interstate commerce.”</w:t>
      </w:r>
    </w:p>
  </w:footnote>
  <w:footnote w:id="58">
    <w:p w14:paraId="069ED566" w14:textId="5624FEA4" w:rsidR="004166FF" w:rsidRPr="004166FF" w:rsidRDefault="004166FF" w:rsidP="004166FF">
      <w:pPr>
        <w:pStyle w:val="NormalWeb"/>
        <w:kinsoku w:val="0"/>
        <w:overflowPunct w:val="0"/>
        <w:spacing w:after="0" w:line="240" w:lineRule="auto"/>
        <w:textAlignment w:val="baseline"/>
        <w:rPr>
          <w:rFonts w:asciiTheme="minorHAnsi" w:eastAsia="Times New Roman" w:hAnsiTheme="minorHAnsi"/>
          <w:kern w:val="0"/>
          <w:sz w:val="20"/>
          <w:szCs w:val="20"/>
          <w14:ligatures w14:val="none"/>
        </w:rPr>
      </w:pPr>
      <w:r w:rsidRPr="004166FF">
        <w:rPr>
          <w:rStyle w:val="FootnoteReference"/>
          <w:rFonts w:asciiTheme="minorHAnsi" w:hAnsiTheme="minorHAnsi"/>
          <w:sz w:val="20"/>
          <w:szCs w:val="20"/>
        </w:rPr>
        <w:footnoteRef/>
      </w:r>
      <w:r w:rsidRPr="004166FF">
        <w:rPr>
          <w:rFonts w:asciiTheme="minorHAnsi" w:hAnsiTheme="minorHAnsi"/>
          <w:sz w:val="20"/>
          <w:szCs w:val="20"/>
        </w:rPr>
        <w:t xml:space="preserve"> </w:t>
      </w:r>
      <w:r w:rsidRPr="004166FF">
        <w:rPr>
          <w:rFonts w:asciiTheme="minorHAnsi" w:eastAsiaTheme="minorEastAsia" w:hAnsiTheme="minorHAnsi" w:cs="Arial"/>
          <w:i/>
          <w:iCs/>
          <w:color w:val="000000" w:themeColor="text1"/>
          <w:kern w:val="24"/>
          <w:sz w:val="20"/>
          <w:szCs w:val="20"/>
          <w14:ligatures w14:val="none"/>
        </w:rPr>
        <w:t>Monongahela Navigation Co. v. United States</w:t>
      </w:r>
      <w:r>
        <w:rPr>
          <w:rFonts w:eastAsiaTheme="minorEastAsia" w:cs="Arial"/>
          <w:i/>
          <w:iCs/>
          <w:color w:val="000000" w:themeColor="text1"/>
          <w:kern w:val="24"/>
          <w14:ligatures w14:val="none"/>
        </w:rPr>
        <w:t xml:space="preserve">, </w:t>
      </w:r>
      <w:r w:rsidRPr="004166FF">
        <w:rPr>
          <w:rFonts w:asciiTheme="minorHAnsi" w:eastAsiaTheme="minorEastAsia" w:hAnsiTheme="minorHAnsi" w:cs="Arial"/>
          <w:color w:val="000000" w:themeColor="text1"/>
          <w:kern w:val="24"/>
          <w:sz w:val="20"/>
          <w:szCs w:val="20"/>
          <w14:ligatures w14:val="none"/>
        </w:rPr>
        <w:t>148 U.S. 312 (1893)</w:t>
      </w:r>
      <w:r>
        <w:rPr>
          <w:rFonts w:eastAsiaTheme="minorEastAsia" w:cs="Arial"/>
          <w:color w:val="000000" w:themeColor="text1"/>
          <w:kern w:val="24"/>
          <w14:ligatures w14:val="none"/>
        </w:rPr>
        <w:t xml:space="preserve"> </w:t>
      </w:r>
      <w:r w:rsidRPr="004166FF">
        <w:rPr>
          <w:rFonts w:asciiTheme="minorHAnsi" w:eastAsiaTheme="minorEastAsia" w:hAnsiTheme="minorHAnsi" w:cs="Arial"/>
          <w:color w:val="000000" w:themeColor="text1"/>
          <w:kern w:val="24"/>
          <w:sz w:val="20"/>
          <w:szCs w:val="20"/>
          <w14:ligatures w14:val="none"/>
        </w:rPr>
        <w:t>“…the power of congress to regulate commerce carries with it power over all the means and instrumentalities by which commerce is carried on.”</w:t>
      </w:r>
    </w:p>
  </w:footnote>
  <w:footnote w:id="59">
    <w:p w14:paraId="443695B8" w14:textId="1863A662" w:rsidR="00233CDD" w:rsidRPr="00233CDD" w:rsidRDefault="00233CDD" w:rsidP="00233CDD">
      <w:pPr>
        <w:pStyle w:val="NormalWeb"/>
        <w:kinsoku w:val="0"/>
        <w:overflowPunct w:val="0"/>
        <w:spacing w:after="0" w:line="240" w:lineRule="auto"/>
        <w:textAlignment w:val="baseline"/>
        <w:rPr>
          <w:rFonts w:asciiTheme="minorHAnsi" w:eastAsia="Times New Roman" w:hAnsiTheme="minorHAnsi"/>
          <w:kern w:val="0"/>
          <w:sz w:val="20"/>
          <w:szCs w:val="20"/>
          <w14:ligatures w14:val="none"/>
        </w:rPr>
      </w:pPr>
      <w:r w:rsidRPr="00233CDD">
        <w:rPr>
          <w:rStyle w:val="FootnoteReference"/>
          <w:rFonts w:asciiTheme="minorHAnsi" w:hAnsiTheme="minorHAnsi"/>
          <w:sz w:val="20"/>
          <w:szCs w:val="20"/>
        </w:rPr>
        <w:footnoteRef/>
      </w:r>
      <w:r w:rsidRPr="00233CDD">
        <w:rPr>
          <w:rFonts w:asciiTheme="minorHAnsi" w:hAnsiTheme="minorHAnsi"/>
          <w:sz w:val="20"/>
          <w:szCs w:val="20"/>
        </w:rPr>
        <w:t xml:space="preserve"> </w:t>
      </w:r>
      <w:r w:rsidRPr="00233CDD">
        <w:rPr>
          <w:rFonts w:asciiTheme="minorHAnsi" w:eastAsiaTheme="minorEastAsia" w:hAnsiTheme="minorHAnsi" w:cs="Arial"/>
          <w:i/>
          <w:iCs/>
          <w:color w:val="000000" w:themeColor="text1"/>
          <w:kern w:val="24"/>
          <w:sz w:val="20"/>
          <w:szCs w:val="20"/>
          <w14:ligatures w14:val="none"/>
        </w:rPr>
        <w:t xml:space="preserve">Luxton v. </w:t>
      </w:r>
      <w:r w:rsidRPr="00233CDD">
        <w:rPr>
          <w:rFonts w:asciiTheme="minorHAnsi" w:eastAsiaTheme="minorEastAsia" w:hAnsiTheme="minorHAnsi" w:cs="Arial"/>
          <w:color w:val="000000" w:themeColor="text1"/>
          <w:kern w:val="24"/>
          <w:sz w:val="20"/>
          <w:szCs w:val="20"/>
          <w14:ligatures w14:val="none"/>
        </w:rPr>
        <w:t>N. River Bridge Co., 153 U.S. 525 (1894).</w:t>
      </w:r>
      <w:r>
        <w:rPr>
          <w:rFonts w:asciiTheme="minorHAnsi" w:eastAsiaTheme="minorEastAsia" w:hAnsiTheme="minorHAnsi" w:cs="Arial"/>
          <w:i/>
          <w:iCs/>
          <w:color w:val="000000" w:themeColor="text1"/>
          <w:kern w:val="24"/>
          <w:sz w:val="20"/>
          <w:szCs w:val="20"/>
          <w14:ligatures w14:val="none"/>
        </w:rPr>
        <w:t xml:space="preserve"> </w:t>
      </w:r>
      <w:r w:rsidRPr="00233CDD">
        <w:rPr>
          <w:rFonts w:asciiTheme="minorHAnsi" w:eastAsiaTheme="minorEastAsia" w:hAnsiTheme="minorHAnsi" w:cs="Arial"/>
          <w:color w:val="000000" w:themeColor="text1"/>
          <w:kern w:val="24"/>
          <w:sz w:val="20"/>
          <w:szCs w:val="20"/>
          <w14:ligatures w14:val="none"/>
        </w:rPr>
        <w:t>“Congress may create corporations as appropriate means of executing the powers of government, as, for instance, a bank for the purpose of carrying on the fiscal operations of the United States, or a railroad corporation for the purpose of promoting commerce among the states.”</w:t>
      </w:r>
    </w:p>
  </w:footnote>
  <w:footnote w:id="60">
    <w:p w14:paraId="5CCD4E80" w14:textId="214DF455" w:rsidR="00403535" w:rsidRDefault="00403535">
      <w:pPr>
        <w:pStyle w:val="FootnoteText"/>
      </w:pPr>
      <w:r>
        <w:rPr>
          <w:rStyle w:val="FootnoteReference"/>
        </w:rPr>
        <w:footnoteRef/>
      </w:r>
      <w:r>
        <w:t xml:space="preserve"> </w:t>
      </w:r>
      <w:r>
        <w:rPr>
          <w:i/>
          <w:iCs/>
        </w:rPr>
        <w:t xml:space="preserve">Wilson v. Shaw, </w:t>
      </w:r>
      <w:r>
        <w:t>204 U.S. 24 (1907)</w:t>
      </w:r>
      <w:r w:rsidR="00233CDD">
        <w:t>. “These authorities recognize the power of Congress to construct interstate highways.”</w:t>
      </w:r>
    </w:p>
  </w:footnote>
  <w:footnote w:id="61">
    <w:p w14:paraId="2F044C35" w14:textId="3182D4B6" w:rsidR="005D147F" w:rsidRPr="005A2098" w:rsidRDefault="005D147F" w:rsidP="005A2098">
      <w:pPr>
        <w:spacing w:after="0" w:line="240" w:lineRule="auto"/>
        <w:rPr>
          <w:rFonts w:ascii="Cambria" w:eastAsia="Times New Roman" w:hAnsi="Cambria" w:cs="Times New Roman"/>
          <w:kern w:val="0"/>
          <w14:ligatures w14:val="none"/>
        </w:rPr>
      </w:pPr>
      <w:r>
        <w:rPr>
          <w:rStyle w:val="FootnoteReference"/>
        </w:rPr>
        <w:footnoteRef/>
      </w:r>
      <w:r>
        <w:t xml:space="preserve"> </w:t>
      </w:r>
      <w:r w:rsidRPr="005A2098">
        <w:rPr>
          <w:sz w:val="20"/>
          <w:szCs w:val="20"/>
        </w:rPr>
        <w:t>Nineteenth-century opponents of federal internal improvements repeatedly warned that national funding of local projects would disguise costs, concentrate benefits, and encourage dependence on federal favor. See, e.g., veto messages of Presidents Madison, Monroe, Tyler, Polk, Pierce, and Buchanan (discussing the dangers of taxing the many to benefit the few and of undermining state responsibility).</w:t>
      </w:r>
      <w:r w:rsidR="005A2098" w:rsidRPr="005A2098">
        <w:rPr>
          <w:sz w:val="20"/>
          <w:szCs w:val="20"/>
        </w:rPr>
        <w:t xml:space="preserve"> </w:t>
      </w:r>
      <w:r w:rsidR="005A2098" w:rsidRPr="005A2098">
        <w:rPr>
          <w:sz w:val="20"/>
          <w:szCs w:val="20"/>
        </w:rPr>
        <w:t xml:space="preserve">The same structural concern </w:t>
      </w:r>
      <w:r w:rsidR="001D6E71">
        <w:rPr>
          <w:sz w:val="20"/>
          <w:szCs w:val="20"/>
        </w:rPr>
        <w:t xml:space="preserve">– separation of costs from benefits - </w:t>
      </w:r>
      <w:r w:rsidR="005A2098" w:rsidRPr="005A2098">
        <w:rPr>
          <w:sz w:val="20"/>
          <w:szCs w:val="20"/>
        </w:rPr>
        <w:t>animated earlier resistance even where Congress acted pursuant to an expressly enumerated power, most notably in the enactment and rapid repeal of the Bankruptcy Act of 1841, discussed in Part VII.</w:t>
      </w:r>
    </w:p>
  </w:footnote>
  <w:footnote w:id="62">
    <w:p w14:paraId="701277DE" w14:textId="393AC7BF" w:rsidR="005D147F" w:rsidRDefault="005D147F">
      <w:pPr>
        <w:pStyle w:val="FootnoteText"/>
      </w:pPr>
      <w:r>
        <w:rPr>
          <w:rStyle w:val="FootnoteReference"/>
        </w:rPr>
        <w:footnoteRef/>
      </w:r>
      <w:r>
        <w:t xml:space="preserve"> Modern commentators have similarly argued that transportation subsidies distort economic and spatial decision-making by separating infrastructure costs from beneficiaries, thereby encouraging expansion, scale, and long-distance connectivity that would not be sustained under user-funded systems. See Kevin A. Carson, </w:t>
      </w:r>
      <w:r>
        <w:rPr>
          <w:rStyle w:val="Emphasis"/>
        </w:rPr>
        <w:t>The Distorting Effects of Transportation Subsidies</w:t>
      </w:r>
      <w:r>
        <w:t xml:space="preserve"> (Found. for Econ. Educ.); Nathaniel Baum-Snow, </w:t>
      </w:r>
      <w:r>
        <w:rPr>
          <w:rStyle w:val="Emphasis"/>
        </w:rPr>
        <w:t xml:space="preserve">Did Highways Cause </w:t>
      </w:r>
      <w:proofErr w:type="gramStart"/>
      <w:r>
        <w:rPr>
          <w:rStyle w:val="Emphasis"/>
        </w:rPr>
        <w:t>Suburbanization?</w:t>
      </w:r>
      <w:r>
        <w:t>,</w:t>
      </w:r>
      <w:proofErr w:type="gramEnd"/>
      <w:r>
        <w:t xml:space="preserve"> 122 Q.J. Econ. 775 (2007); Edward L. Glaeser &amp; Matthew E. Kahn, </w:t>
      </w:r>
      <w:r>
        <w:rPr>
          <w:rStyle w:val="Emphasis"/>
        </w:rPr>
        <w:t>Sprawl and Urban Growth</w:t>
      </w:r>
      <w:r>
        <w:t xml:space="preserve">, in </w:t>
      </w:r>
      <w:r>
        <w:rPr>
          <w:rStyle w:val="Emphasis"/>
        </w:rPr>
        <w:t>Handbook of Regional and Urban Economics</w:t>
      </w:r>
      <w:r>
        <w:t xml:space="preserve"> (2004). These sources are cited here not as constitutional authority, but to illustrate incentive effects analogous to those identified by nineteenth-century critics of internal improvements.</w:t>
      </w:r>
    </w:p>
  </w:footnote>
  <w:footnote w:id="63">
    <w:p w14:paraId="0A219953" w14:textId="210AE5AA" w:rsidR="002E0373" w:rsidRPr="002E0373" w:rsidRDefault="00D33802" w:rsidP="002E0373">
      <w:pPr>
        <w:spacing w:after="0" w:line="240" w:lineRule="auto"/>
        <w:rPr>
          <w:rFonts w:eastAsia="Times New Roman" w:cs="Arial"/>
          <w:color w:val="000000"/>
          <w:kern w:val="0"/>
          <w:sz w:val="20"/>
          <w:szCs w:val="20"/>
          <w14:ligatures w14:val="none"/>
        </w:rPr>
      </w:pPr>
      <w:r>
        <w:rPr>
          <w:rStyle w:val="FootnoteReference"/>
        </w:rPr>
        <w:footnoteRef/>
      </w:r>
      <w:r>
        <w:t xml:space="preserve"> </w:t>
      </w:r>
      <w:r w:rsidR="002E0373" w:rsidRPr="002E0373">
        <w:rPr>
          <w:rFonts w:eastAsia="Times New Roman" w:cs="Arial"/>
          <w:color w:val="000000"/>
          <w:kern w:val="0"/>
          <w:sz w:val="20"/>
          <w:szCs w:val="20"/>
          <w14:ligatures w14:val="none"/>
        </w:rPr>
        <w:t xml:space="preserve">See Dobbs v. Jackson Women’s Health Org., 597 U.S. 215, 248–49 (2022) (stare decisis does not compel adherence where reasoning is undermined and reliance is limited); Corner Post, Inc. v. Bd. of Governors of the Fed. </w:t>
      </w:r>
      <w:proofErr w:type="spellStart"/>
      <w:r w:rsidR="002E0373" w:rsidRPr="002E0373">
        <w:rPr>
          <w:rFonts w:eastAsia="Times New Roman" w:cs="Arial"/>
          <w:color w:val="000000"/>
          <w:kern w:val="0"/>
          <w:sz w:val="20"/>
          <w:szCs w:val="20"/>
          <w14:ligatures w14:val="none"/>
        </w:rPr>
        <w:t>Rsrv</w:t>
      </w:r>
      <w:proofErr w:type="spellEnd"/>
      <w:r w:rsidR="002E0373" w:rsidRPr="002E0373">
        <w:rPr>
          <w:rFonts w:eastAsia="Times New Roman" w:cs="Arial"/>
          <w:color w:val="000000"/>
          <w:kern w:val="0"/>
          <w:sz w:val="20"/>
          <w:szCs w:val="20"/>
          <w14:ligatures w14:val="none"/>
        </w:rPr>
        <w:t>. Sys., 144 S. Ct. 2440, 2450–53 (2024) (changed circumstances can reopen settled questions).</w:t>
      </w:r>
    </w:p>
    <w:p w14:paraId="7C340113" w14:textId="4603C06C" w:rsidR="00D33802" w:rsidRDefault="00D33802" w:rsidP="002E03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24D95"/>
    <w:multiLevelType w:val="multilevel"/>
    <w:tmpl w:val="3FA4F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56AB7"/>
    <w:multiLevelType w:val="multilevel"/>
    <w:tmpl w:val="80CEF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B2171"/>
    <w:multiLevelType w:val="multilevel"/>
    <w:tmpl w:val="2AF6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165408"/>
    <w:multiLevelType w:val="multilevel"/>
    <w:tmpl w:val="F55EA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EF62A7"/>
    <w:multiLevelType w:val="multilevel"/>
    <w:tmpl w:val="DE88B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5E627E"/>
    <w:multiLevelType w:val="hybridMultilevel"/>
    <w:tmpl w:val="E3D2833C"/>
    <w:lvl w:ilvl="0" w:tplc="FFE6BC6A">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96718291">
    <w:abstractNumId w:val="1"/>
  </w:num>
  <w:num w:numId="2" w16cid:durableId="770516997">
    <w:abstractNumId w:val="2"/>
  </w:num>
  <w:num w:numId="3" w16cid:durableId="169371864">
    <w:abstractNumId w:val="3"/>
  </w:num>
  <w:num w:numId="4" w16cid:durableId="2024549929">
    <w:abstractNumId w:val="4"/>
  </w:num>
  <w:num w:numId="5" w16cid:durableId="1965309631">
    <w:abstractNumId w:val="0"/>
  </w:num>
  <w:num w:numId="6" w16cid:durableId="7520943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23F"/>
    <w:rsid w:val="000403F3"/>
    <w:rsid w:val="00053353"/>
    <w:rsid w:val="00085EF5"/>
    <w:rsid w:val="00086E0A"/>
    <w:rsid w:val="000944EB"/>
    <w:rsid w:val="000A6A0F"/>
    <w:rsid w:val="000F13CD"/>
    <w:rsid w:val="001119D8"/>
    <w:rsid w:val="00111F32"/>
    <w:rsid w:val="00173CBF"/>
    <w:rsid w:val="0018241E"/>
    <w:rsid w:val="0019158E"/>
    <w:rsid w:val="001A1DCE"/>
    <w:rsid w:val="001A2173"/>
    <w:rsid w:val="001B7808"/>
    <w:rsid w:val="001D4E61"/>
    <w:rsid w:val="001D6E71"/>
    <w:rsid w:val="001E6C01"/>
    <w:rsid w:val="00203CAA"/>
    <w:rsid w:val="002053FC"/>
    <w:rsid w:val="00233CDD"/>
    <w:rsid w:val="00234E2D"/>
    <w:rsid w:val="00251050"/>
    <w:rsid w:val="0026667F"/>
    <w:rsid w:val="00293E6D"/>
    <w:rsid w:val="002949D0"/>
    <w:rsid w:val="002A01FA"/>
    <w:rsid w:val="002E0373"/>
    <w:rsid w:val="002F3C33"/>
    <w:rsid w:val="002F6BF5"/>
    <w:rsid w:val="00305F0D"/>
    <w:rsid w:val="0031062B"/>
    <w:rsid w:val="00353EEF"/>
    <w:rsid w:val="0035658C"/>
    <w:rsid w:val="00372554"/>
    <w:rsid w:val="0038724D"/>
    <w:rsid w:val="00390A3E"/>
    <w:rsid w:val="003A1105"/>
    <w:rsid w:val="003E2BAE"/>
    <w:rsid w:val="003F74A7"/>
    <w:rsid w:val="00403535"/>
    <w:rsid w:val="004166FF"/>
    <w:rsid w:val="00446D56"/>
    <w:rsid w:val="00453234"/>
    <w:rsid w:val="004704C4"/>
    <w:rsid w:val="00475005"/>
    <w:rsid w:val="00487323"/>
    <w:rsid w:val="004B152C"/>
    <w:rsid w:val="004E1302"/>
    <w:rsid w:val="004F0292"/>
    <w:rsid w:val="00514845"/>
    <w:rsid w:val="0057060B"/>
    <w:rsid w:val="0057772E"/>
    <w:rsid w:val="00584767"/>
    <w:rsid w:val="005848F1"/>
    <w:rsid w:val="005A2098"/>
    <w:rsid w:val="005B35D8"/>
    <w:rsid w:val="005C6535"/>
    <w:rsid w:val="005D147F"/>
    <w:rsid w:val="005E5BA3"/>
    <w:rsid w:val="005F46BF"/>
    <w:rsid w:val="006114A0"/>
    <w:rsid w:val="006322CA"/>
    <w:rsid w:val="006704CA"/>
    <w:rsid w:val="00673FCF"/>
    <w:rsid w:val="00684483"/>
    <w:rsid w:val="0068519C"/>
    <w:rsid w:val="006A6967"/>
    <w:rsid w:val="006C5A18"/>
    <w:rsid w:val="006D3A06"/>
    <w:rsid w:val="006D6DD0"/>
    <w:rsid w:val="006D7B03"/>
    <w:rsid w:val="006E26A5"/>
    <w:rsid w:val="006E4657"/>
    <w:rsid w:val="006F2D32"/>
    <w:rsid w:val="007012B0"/>
    <w:rsid w:val="00733E10"/>
    <w:rsid w:val="007342F2"/>
    <w:rsid w:val="00743C0C"/>
    <w:rsid w:val="007550B5"/>
    <w:rsid w:val="00760A0B"/>
    <w:rsid w:val="007677FC"/>
    <w:rsid w:val="00773F7F"/>
    <w:rsid w:val="00785C86"/>
    <w:rsid w:val="00786406"/>
    <w:rsid w:val="0078680D"/>
    <w:rsid w:val="0079348C"/>
    <w:rsid w:val="007A74F6"/>
    <w:rsid w:val="007D70D9"/>
    <w:rsid w:val="00803645"/>
    <w:rsid w:val="00804EB0"/>
    <w:rsid w:val="00814ACC"/>
    <w:rsid w:val="00816BF1"/>
    <w:rsid w:val="00847C69"/>
    <w:rsid w:val="0085717A"/>
    <w:rsid w:val="008839A9"/>
    <w:rsid w:val="0088473B"/>
    <w:rsid w:val="008A0CC1"/>
    <w:rsid w:val="008D552E"/>
    <w:rsid w:val="008F0FBE"/>
    <w:rsid w:val="008F1D7D"/>
    <w:rsid w:val="008F7CB9"/>
    <w:rsid w:val="00921D21"/>
    <w:rsid w:val="00934954"/>
    <w:rsid w:val="0094345D"/>
    <w:rsid w:val="009447D0"/>
    <w:rsid w:val="009737E7"/>
    <w:rsid w:val="0098196F"/>
    <w:rsid w:val="0099485E"/>
    <w:rsid w:val="009959CE"/>
    <w:rsid w:val="009B456B"/>
    <w:rsid w:val="009C5C73"/>
    <w:rsid w:val="009D41D3"/>
    <w:rsid w:val="009F21CB"/>
    <w:rsid w:val="00A0754F"/>
    <w:rsid w:val="00A25CE6"/>
    <w:rsid w:val="00A3693A"/>
    <w:rsid w:val="00A60B90"/>
    <w:rsid w:val="00A83692"/>
    <w:rsid w:val="00A8662E"/>
    <w:rsid w:val="00AB1EF4"/>
    <w:rsid w:val="00AB5EBB"/>
    <w:rsid w:val="00AC38AF"/>
    <w:rsid w:val="00AC7CF7"/>
    <w:rsid w:val="00AD628A"/>
    <w:rsid w:val="00AF5016"/>
    <w:rsid w:val="00B27DDE"/>
    <w:rsid w:val="00B31C6D"/>
    <w:rsid w:val="00B453DD"/>
    <w:rsid w:val="00B724DF"/>
    <w:rsid w:val="00BA0FC5"/>
    <w:rsid w:val="00BB5682"/>
    <w:rsid w:val="00BE2590"/>
    <w:rsid w:val="00BE285B"/>
    <w:rsid w:val="00C076D8"/>
    <w:rsid w:val="00C1023F"/>
    <w:rsid w:val="00C167D2"/>
    <w:rsid w:val="00C227EB"/>
    <w:rsid w:val="00C35A32"/>
    <w:rsid w:val="00C40E84"/>
    <w:rsid w:val="00C6549F"/>
    <w:rsid w:val="00C7363D"/>
    <w:rsid w:val="00C74644"/>
    <w:rsid w:val="00C77479"/>
    <w:rsid w:val="00C93FF4"/>
    <w:rsid w:val="00CF0B22"/>
    <w:rsid w:val="00D0048F"/>
    <w:rsid w:val="00D0082C"/>
    <w:rsid w:val="00D05DE2"/>
    <w:rsid w:val="00D14D44"/>
    <w:rsid w:val="00D24E6F"/>
    <w:rsid w:val="00D33802"/>
    <w:rsid w:val="00D354E8"/>
    <w:rsid w:val="00D37364"/>
    <w:rsid w:val="00D45359"/>
    <w:rsid w:val="00D5177B"/>
    <w:rsid w:val="00D73098"/>
    <w:rsid w:val="00D923A9"/>
    <w:rsid w:val="00D923AD"/>
    <w:rsid w:val="00DD5E79"/>
    <w:rsid w:val="00E26CA1"/>
    <w:rsid w:val="00E33F0F"/>
    <w:rsid w:val="00E6023C"/>
    <w:rsid w:val="00E60DAF"/>
    <w:rsid w:val="00E61DE5"/>
    <w:rsid w:val="00E70294"/>
    <w:rsid w:val="00E80487"/>
    <w:rsid w:val="00EA4E05"/>
    <w:rsid w:val="00EA75A6"/>
    <w:rsid w:val="00EE3B3E"/>
    <w:rsid w:val="00EE5C9E"/>
    <w:rsid w:val="00EF2723"/>
    <w:rsid w:val="00EF42A3"/>
    <w:rsid w:val="00EF4D50"/>
    <w:rsid w:val="00EF797B"/>
    <w:rsid w:val="00F21784"/>
    <w:rsid w:val="00F32183"/>
    <w:rsid w:val="00F55BD2"/>
    <w:rsid w:val="00F60AF0"/>
    <w:rsid w:val="00F6127A"/>
    <w:rsid w:val="00F72C9C"/>
    <w:rsid w:val="00FB0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9CFB6"/>
  <w15:chartTrackingRefBased/>
  <w15:docId w15:val="{0ABB1D18-B50A-4372-AA90-E452A7188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02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02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02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02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02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02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02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02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02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2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02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02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02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02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02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02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02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023F"/>
    <w:rPr>
      <w:rFonts w:eastAsiaTheme="majorEastAsia" w:cstheme="majorBidi"/>
      <w:color w:val="272727" w:themeColor="text1" w:themeTint="D8"/>
    </w:rPr>
  </w:style>
  <w:style w:type="paragraph" w:styleId="Title">
    <w:name w:val="Title"/>
    <w:basedOn w:val="Normal"/>
    <w:next w:val="Normal"/>
    <w:link w:val="TitleChar"/>
    <w:uiPriority w:val="10"/>
    <w:qFormat/>
    <w:rsid w:val="00C102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2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02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02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023F"/>
    <w:pPr>
      <w:spacing w:before="160"/>
      <w:jc w:val="center"/>
    </w:pPr>
    <w:rPr>
      <w:i/>
      <w:iCs/>
      <w:color w:val="404040" w:themeColor="text1" w:themeTint="BF"/>
    </w:rPr>
  </w:style>
  <w:style w:type="character" w:customStyle="1" w:styleId="QuoteChar">
    <w:name w:val="Quote Char"/>
    <w:basedOn w:val="DefaultParagraphFont"/>
    <w:link w:val="Quote"/>
    <w:uiPriority w:val="29"/>
    <w:rsid w:val="00C1023F"/>
    <w:rPr>
      <w:i/>
      <w:iCs/>
      <w:color w:val="404040" w:themeColor="text1" w:themeTint="BF"/>
    </w:rPr>
  </w:style>
  <w:style w:type="paragraph" w:styleId="ListParagraph">
    <w:name w:val="List Paragraph"/>
    <w:basedOn w:val="Normal"/>
    <w:uiPriority w:val="34"/>
    <w:qFormat/>
    <w:rsid w:val="00C1023F"/>
    <w:pPr>
      <w:ind w:left="720"/>
      <w:contextualSpacing/>
    </w:pPr>
  </w:style>
  <w:style w:type="character" w:styleId="IntenseEmphasis">
    <w:name w:val="Intense Emphasis"/>
    <w:basedOn w:val="DefaultParagraphFont"/>
    <w:uiPriority w:val="21"/>
    <w:qFormat/>
    <w:rsid w:val="00C1023F"/>
    <w:rPr>
      <w:i/>
      <w:iCs/>
      <w:color w:val="0F4761" w:themeColor="accent1" w:themeShade="BF"/>
    </w:rPr>
  </w:style>
  <w:style w:type="paragraph" w:styleId="IntenseQuote">
    <w:name w:val="Intense Quote"/>
    <w:basedOn w:val="Normal"/>
    <w:next w:val="Normal"/>
    <w:link w:val="IntenseQuoteChar"/>
    <w:uiPriority w:val="30"/>
    <w:qFormat/>
    <w:rsid w:val="00C102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023F"/>
    <w:rPr>
      <w:i/>
      <w:iCs/>
      <w:color w:val="0F4761" w:themeColor="accent1" w:themeShade="BF"/>
    </w:rPr>
  </w:style>
  <w:style w:type="character" w:styleId="IntenseReference">
    <w:name w:val="Intense Reference"/>
    <w:basedOn w:val="DefaultParagraphFont"/>
    <w:uiPriority w:val="32"/>
    <w:qFormat/>
    <w:rsid w:val="00C1023F"/>
    <w:rPr>
      <w:b/>
      <w:bCs/>
      <w:smallCaps/>
      <w:color w:val="0F4761" w:themeColor="accent1" w:themeShade="BF"/>
      <w:spacing w:val="5"/>
    </w:rPr>
  </w:style>
  <w:style w:type="paragraph" w:styleId="NormalWeb">
    <w:name w:val="Normal (Web)"/>
    <w:basedOn w:val="Normal"/>
    <w:uiPriority w:val="99"/>
    <w:unhideWhenUsed/>
    <w:rsid w:val="006C5A18"/>
    <w:rPr>
      <w:rFonts w:ascii="Times New Roman" w:hAnsi="Times New Roman" w:cs="Times New Roman"/>
    </w:rPr>
  </w:style>
  <w:style w:type="paragraph" w:styleId="FootnoteText">
    <w:name w:val="footnote text"/>
    <w:basedOn w:val="Normal"/>
    <w:link w:val="FootnoteTextChar"/>
    <w:uiPriority w:val="99"/>
    <w:semiHidden/>
    <w:unhideWhenUsed/>
    <w:rsid w:val="00C35A3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5A32"/>
    <w:rPr>
      <w:sz w:val="20"/>
      <w:szCs w:val="20"/>
    </w:rPr>
  </w:style>
  <w:style w:type="character" w:styleId="FootnoteReference">
    <w:name w:val="footnote reference"/>
    <w:basedOn w:val="DefaultParagraphFont"/>
    <w:uiPriority w:val="99"/>
    <w:semiHidden/>
    <w:unhideWhenUsed/>
    <w:rsid w:val="00C35A32"/>
    <w:rPr>
      <w:vertAlign w:val="superscript"/>
    </w:rPr>
  </w:style>
  <w:style w:type="character" w:styleId="Emphasis">
    <w:name w:val="Emphasis"/>
    <w:basedOn w:val="DefaultParagraphFont"/>
    <w:uiPriority w:val="20"/>
    <w:qFormat/>
    <w:rsid w:val="001D4E61"/>
    <w:rPr>
      <w:i/>
      <w:iCs/>
    </w:rPr>
  </w:style>
  <w:style w:type="character" w:styleId="Strong">
    <w:name w:val="Strong"/>
    <w:basedOn w:val="DefaultParagraphFont"/>
    <w:uiPriority w:val="22"/>
    <w:qFormat/>
    <w:rsid w:val="001D4E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3BA3A-84BE-4B78-A0D2-C6709D09A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11</Pages>
  <Words>4376</Words>
  <Characters>24946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 Graham</dc:creator>
  <cp:keywords/>
  <dc:description/>
  <cp:lastModifiedBy>Vince Graham</cp:lastModifiedBy>
  <cp:revision>2</cp:revision>
  <dcterms:created xsi:type="dcterms:W3CDTF">2026-01-19T15:37:00Z</dcterms:created>
  <dcterms:modified xsi:type="dcterms:W3CDTF">2026-01-19T15:37:00Z</dcterms:modified>
</cp:coreProperties>
</file>